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方正小标宋简体" w:hAnsi="宋体" w:eastAsia="方正小标宋简体"/>
          <w:szCs w:val="21"/>
        </w:rPr>
      </w:pPr>
      <w:bookmarkStart w:id="0" w:name="_Toc15306267"/>
    </w:p>
    <w:p>
      <w:pPr>
        <w:spacing w:line="600" w:lineRule="exact"/>
        <w:jc w:val="center"/>
        <w:rPr>
          <w:rFonts w:ascii="方正小标宋简体" w:hAnsi="宋体" w:eastAsia="方正小标宋简体"/>
          <w:sz w:val="72"/>
          <w:szCs w:val="72"/>
        </w:rPr>
      </w:pPr>
    </w:p>
    <w:p>
      <w:pPr>
        <w:spacing w:line="600" w:lineRule="exact"/>
        <w:jc w:val="center"/>
        <w:rPr>
          <w:rFonts w:ascii="方正小标宋简体" w:hAnsi="宋体" w:eastAsia="方正小标宋简体"/>
          <w:sz w:val="72"/>
          <w:szCs w:val="72"/>
        </w:rPr>
      </w:pPr>
      <w:bookmarkStart w:id="117" w:name="_GoBack"/>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21493"/>
      <w:bookmarkStart w:id="2" w:name="_Toc15396475"/>
      <w:bookmarkStart w:id="3" w:name="_Toc15378441"/>
      <w:bookmarkStart w:id="4" w:name="_Toc15396597"/>
      <w:bookmarkStart w:id="5" w:name="_Toc15377425"/>
      <w:bookmarkStart w:id="6" w:name="_Toc15377193"/>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bookmarkEnd w:id="6"/>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 w:name="_Toc15396598"/>
      <w:bookmarkStart w:id="8" w:name="_Toc15377426"/>
      <w:bookmarkStart w:id="9" w:name="_Toc15378442"/>
      <w:bookmarkStart w:id="10" w:name="_Toc15377194"/>
      <w:bookmarkStart w:id="11" w:name="_Toc15396476"/>
      <w:bookmarkStart w:id="12" w:name="_Toc31494"/>
      <w:r>
        <w:rPr>
          <w:rFonts w:hint="eastAsia" w:ascii="方正小标宋简体" w:hAnsi="方正小标宋简体" w:eastAsia="方正小标宋简体" w:cs="方正小标宋简体"/>
          <w:sz w:val="72"/>
          <w:szCs w:val="72"/>
        </w:rPr>
        <w:t>遂宁市</w:t>
      </w:r>
      <w:bookmarkEnd w:id="0"/>
      <w:bookmarkStart w:id="13" w:name="_Toc15306268"/>
      <w:r>
        <w:rPr>
          <w:rFonts w:hint="eastAsia" w:ascii="方正小标宋简体" w:hAnsi="方正小标宋简体" w:eastAsia="方正小标宋简体" w:cs="方正小标宋简体"/>
          <w:sz w:val="72"/>
          <w:szCs w:val="72"/>
        </w:rPr>
        <w:t>减灾中心单位决算</w:t>
      </w:r>
      <w:bookmarkEnd w:id="7"/>
      <w:bookmarkEnd w:id="8"/>
      <w:bookmarkEnd w:id="9"/>
      <w:bookmarkEnd w:id="10"/>
      <w:bookmarkEnd w:id="11"/>
      <w:bookmarkEnd w:id="12"/>
      <w:bookmarkEnd w:id="13"/>
    </w:p>
    <w:bookmarkEnd w:id="117"/>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2"/>
      </w:pPr>
      <w:r>
        <w:rPr>
          <w:rFonts w:hint="eastAsia"/>
        </w:rPr>
        <w:t>公开时间：2023年8月25日</w:t>
      </w:r>
    </w:p>
    <w:p/>
    <w:sdt>
      <w:sdtPr>
        <w:rPr>
          <w:rFonts w:ascii="宋体" w:hAnsi="宋体"/>
        </w:rPr>
        <w:id w:val="147469614"/>
        <w:docPartObj>
          <w:docPartGallery w:val="Table of Contents"/>
          <w:docPartUnique/>
        </w:docPartObj>
      </w:sdtPr>
      <w:sdtEndPr>
        <w:rPr>
          <w:rFonts w:ascii="宋体" w:hAnsi="宋体"/>
        </w:rPr>
      </w:sdtEndPr>
      <w:sdtContent>
        <w:p>
          <w:pPr>
            <w:jc w:val="center"/>
          </w:pPr>
          <w:bookmarkStart w:id="14" w:name="_Toc15377196"/>
          <w:bookmarkStart w:id="15" w:name="_Toc15396599"/>
        </w:p>
        <w:p>
          <w:pPr>
            <w:pStyle w:val="33"/>
            <w:tabs>
              <w:tab w:val="right" w:leader="dot" w:pos="8306"/>
            </w:tabs>
          </w:pPr>
          <w:r>
            <w:fldChar w:fldCharType="begin"/>
          </w:r>
          <w:r>
            <w:instrText xml:space="preserve">TOC \o "1-3" \h \u </w:instrText>
          </w:r>
          <w:r>
            <w:fldChar w:fldCharType="separate"/>
          </w:r>
        </w:p>
        <w:p>
          <w:pPr>
            <w:pStyle w:val="33"/>
            <w:tabs>
              <w:tab w:val="right" w:leader="dot" w:pos="8306"/>
            </w:tabs>
          </w:pPr>
          <w:r>
            <w:fldChar w:fldCharType="begin"/>
          </w:r>
          <w:r>
            <w:instrText xml:space="preserve"> HYPERLINK \l "_Toc12058" </w:instrText>
          </w:r>
          <w:r>
            <w:fldChar w:fldCharType="separate"/>
          </w:r>
          <w:r>
            <w:rPr>
              <w:rStyle w:val="28"/>
              <w:rFonts w:hint="eastAsia" w:ascii="黑体" w:hAnsi="黑体" w:eastAsia="黑体"/>
              <w:b w:val="0"/>
              <w:bCs w:val="0"/>
            </w:rPr>
            <w:t>第一部分 单位概况</w:t>
          </w:r>
          <w:r>
            <w:rPr>
              <w:rStyle w:val="28"/>
              <w:rFonts w:hint="eastAsia" w:ascii="黑体" w:hAnsi="黑体" w:eastAsia="黑体"/>
              <w:b w:val="0"/>
              <w:bCs w:val="0"/>
            </w:rPr>
            <w:tab/>
          </w:r>
          <w:r>
            <w:rPr>
              <w:rStyle w:val="28"/>
              <w:rFonts w:hint="eastAsia" w:ascii="黑体" w:hAnsi="黑体" w:eastAsia="黑体"/>
              <w:b w:val="0"/>
              <w:bCs w:val="0"/>
            </w:rPr>
            <w:fldChar w:fldCharType="begin"/>
          </w:r>
          <w:r>
            <w:rPr>
              <w:rStyle w:val="28"/>
              <w:rFonts w:hint="eastAsia" w:ascii="黑体" w:hAnsi="黑体" w:eastAsia="黑体"/>
              <w:b w:val="0"/>
              <w:bCs w:val="0"/>
            </w:rPr>
            <w:instrText xml:space="preserve"> PAGEREF _Toc12058 \h </w:instrText>
          </w:r>
          <w:r>
            <w:rPr>
              <w:rStyle w:val="28"/>
              <w:rFonts w:hint="eastAsia" w:ascii="黑体" w:hAnsi="黑体" w:eastAsia="黑体"/>
              <w:b w:val="0"/>
              <w:bCs w:val="0"/>
            </w:rPr>
            <w:fldChar w:fldCharType="separate"/>
          </w:r>
          <w:r>
            <w:rPr>
              <w:rStyle w:val="28"/>
              <w:rFonts w:hint="eastAsia" w:ascii="黑体" w:hAnsi="黑体" w:eastAsia="黑体"/>
              <w:b w:val="0"/>
              <w:bCs w:val="0"/>
            </w:rPr>
            <w:t>4</w:t>
          </w:r>
          <w:r>
            <w:rPr>
              <w:rStyle w:val="28"/>
              <w:rFonts w:hint="eastAsia" w:ascii="黑体" w:hAnsi="黑体" w:eastAsia="黑体"/>
              <w:b w:val="0"/>
              <w:bCs w:val="0"/>
            </w:rPr>
            <w:fldChar w:fldCharType="end"/>
          </w:r>
          <w:r>
            <w:rPr>
              <w:rStyle w:val="28"/>
              <w:rFonts w:hint="eastAsia" w:ascii="黑体" w:hAnsi="黑体" w:eastAsia="黑体"/>
              <w:b w:val="0"/>
              <w:bCs w:val="0"/>
            </w:rPr>
            <w:fldChar w:fldCharType="end"/>
          </w:r>
        </w:p>
        <w:p>
          <w:pPr>
            <w:pStyle w:val="34"/>
            <w:tabs>
              <w:tab w:val="right" w:leader="dot" w:pos="8306"/>
            </w:tabs>
            <w:ind w:left="420"/>
            <w:rPr>
              <w:rFonts w:ascii="仿宋_GB2312" w:eastAsia="仿宋_GB2312"/>
              <w:kern w:val="2"/>
              <w:sz w:val="32"/>
              <w:szCs w:val="32"/>
            </w:rPr>
          </w:pPr>
          <w:r>
            <w:fldChar w:fldCharType="begin"/>
          </w:r>
          <w:r>
            <w:instrText xml:space="preserve"> HYPERLINK \l "_Toc10742" </w:instrText>
          </w:r>
          <w:r>
            <w:fldChar w:fldCharType="separate"/>
          </w:r>
          <w:r>
            <w:rPr>
              <w:rFonts w:hint="eastAsia" w:ascii="仿宋_GB2312" w:eastAsia="仿宋_GB2312"/>
              <w:kern w:val="2"/>
              <w:sz w:val="32"/>
              <w:szCs w:val="32"/>
            </w:rPr>
            <w:t>一、 主要职责</w:t>
          </w:r>
          <w:r>
            <w:rPr>
              <w:rFonts w:hint="eastAsia" w:ascii="仿宋_GB2312" w:eastAsia="仿宋_GB2312"/>
              <w:kern w:val="2"/>
              <w:sz w:val="32"/>
              <w:szCs w:val="32"/>
            </w:rPr>
            <w:tab/>
          </w:r>
          <w:r>
            <w:rPr>
              <w:rFonts w:hint="eastAsia" w:ascii="仿宋_GB2312" w:eastAsia="仿宋_GB2312"/>
              <w:kern w:val="2"/>
              <w:sz w:val="32"/>
              <w:szCs w:val="32"/>
            </w:rPr>
            <w:fldChar w:fldCharType="begin"/>
          </w:r>
          <w:r>
            <w:rPr>
              <w:rFonts w:hint="eastAsia" w:ascii="仿宋_GB2312" w:eastAsia="仿宋_GB2312"/>
              <w:kern w:val="2"/>
              <w:sz w:val="32"/>
              <w:szCs w:val="32"/>
            </w:rPr>
            <w:instrText xml:space="preserve"> PAGEREF _Toc10742 \h </w:instrText>
          </w:r>
          <w:r>
            <w:rPr>
              <w:rFonts w:hint="eastAsia" w:ascii="仿宋_GB2312" w:eastAsia="仿宋_GB2312"/>
              <w:kern w:val="2"/>
              <w:sz w:val="32"/>
              <w:szCs w:val="32"/>
            </w:rPr>
            <w:fldChar w:fldCharType="separate"/>
          </w:r>
          <w:r>
            <w:rPr>
              <w:rFonts w:hint="eastAsia" w:ascii="仿宋_GB2312" w:eastAsia="仿宋_GB2312"/>
              <w:kern w:val="2"/>
              <w:sz w:val="32"/>
              <w:szCs w:val="32"/>
            </w:rPr>
            <w:t>4</w:t>
          </w:r>
          <w:r>
            <w:rPr>
              <w:rFonts w:hint="eastAsia" w:ascii="仿宋_GB2312" w:eastAsia="仿宋_GB2312"/>
              <w:kern w:val="2"/>
              <w:sz w:val="32"/>
              <w:szCs w:val="32"/>
            </w:rPr>
            <w:fldChar w:fldCharType="end"/>
          </w:r>
          <w:r>
            <w:rPr>
              <w:rFonts w:hint="eastAsia" w:ascii="仿宋_GB2312" w:eastAsia="仿宋_GB2312"/>
              <w:kern w:val="2"/>
              <w:sz w:val="32"/>
              <w:szCs w:val="32"/>
            </w:rPr>
            <w:fldChar w:fldCharType="end"/>
          </w:r>
        </w:p>
        <w:p>
          <w:pPr>
            <w:pStyle w:val="34"/>
            <w:tabs>
              <w:tab w:val="right" w:leader="dot" w:pos="8306"/>
            </w:tabs>
            <w:ind w:left="420"/>
            <w:rPr>
              <w:rFonts w:ascii="仿宋_GB2312" w:eastAsia="仿宋_GB2312"/>
              <w:kern w:val="2"/>
              <w:sz w:val="32"/>
              <w:szCs w:val="32"/>
            </w:rPr>
          </w:pPr>
          <w:r>
            <w:fldChar w:fldCharType="begin"/>
          </w:r>
          <w:r>
            <w:instrText xml:space="preserve"> HYPERLINK \l "_Toc27656" </w:instrText>
          </w:r>
          <w:r>
            <w:fldChar w:fldCharType="separate"/>
          </w:r>
          <w:r>
            <w:rPr>
              <w:rFonts w:hint="eastAsia" w:ascii="仿宋_GB2312" w:eastAsia="仿宋_GB2312"/>
              <w:kern w:val="2"/>
              <w:sz w:val="32"/>
              <w:szCs w:val="32"/>
            </w:rPr>
            <w:t>二、机构设置</w:t>
          </w:r>
          <w:r>
            <w:rPr>
              <w:rFonts w:hint="eastAsia" w:ascii="仿宋_GB2312" w:eastAsia="仿宋_GB2312"/>
              <w:kern w:val="2"/>
              <w:sz w:val="32"/>
              <w:szCs w:val="32"/>
            </w:rPr>
            <w:tab/>
          </w:r>
          <w:r>
            <w:rPr>
              <w:rFonts w:hint="eastAsia" w:ascii="仿宋_GB2312" w:eastAsia="仿宋_GB2312"/>
              <w:kern w:val="2"/>
              <w:sz w:val="32"/>
              <w:szCs w:val="32"/>
            </w:rPr>
            <w:fldChar w:fldCharType="begin"/>
          </w:r>
          <w:r>
            <w:rPr>
              <w:rFonts w:hint="eastAsia" w:ascii="仿宋_GB2312" w:eastAsia="仿宋_GB2312"/>
              <w:kern w:val="2"/>
              <w:sz w:val="32"/>
              <w:szCs w:val="32"/>
            </w:rPr>
            <w:instrText xml:space="preserve"> PAGEREF _Toc27656 \h </w:instrText>
          </w:r>
          <w:r>
            <w:rPr>
              <w:rFonts w:hint="eastAsia" w:ascii="仿宋_GB2312" w:eastAsia="仿宋_GB2312"/>
              <w:kern w:val="2"/>
              <w:sz w:val="32"/>
              <w:szCs w:val="32"/>
            </w:rPr>
            <w:fldChar w:fldCharType="separate"/>
          </w:r>
          <w:r>
            <w:rPr>
              <w:rFonts w:hint="eastAsia" w:ascii="仿宋_GB2312" w:eastAsia="仿宋_GB2312"/>
              <w:kern w:val="2"/>
              <w:sz w:val="32"/>
              <w:szCs w:val="32"/>
            </w:rPr>
            <w:t>4</w:t>
          </w:r>
          <w:r>
            <w:rPr>
              <w:rFonts w:hint="eastAsia" w:ascii="仿宋_GB2312" w:eastAsia="仿宋_GB2312"/>
              <w:kern w:val="2"/>
              <w:sz w:val="32"/>
              <w:szCs w:val="32"/>
            </w:rPr>
            <w:fldChar w:fldCharType="end"/>
          </w:r>
          <w:r>
            <w:rPr>
              <w:rFonts w:hint="eastAsia" w:ascii="仿宋_GB2312" w:eastAsia="仿宋_GB2312"/>
              <w:kern w:val="2"/>
              <w:sz w:val="32"/>
              <w:szCs w:val="32"/>
            </w:rPr>
            <w:fldChar w:fldCharType="end"/>
          </w:r>
        </w:p>
        <w:p>
          <w:pPr>
            <w:pStyle w:val="33"/>
            <w:tabs>
              <w:tab w:val="right" w:leader="dot" w:pos="8306"/>
            </w:tabs>
          </w:pPr>
          <w:r>
            <w:fldChar w:fldCharType="begin"/>
          </w:r>
          <w:r>
            <w:instrText xml:space="preserve"> HYPERLINK \l "_Toc11346" </w:instrText>
          </w:r>
          <w:r>
            <w:fldChar w:fldCharType="separate"/>
          </w:r>
          <w:r>
            <w:rPr>
              <w:rStyle w:val="28"/>
              <w:rFonts w:hint="eastAsia" w:ascii="黑体" w:hAnsi="黑体" w:eastAsia="黑体"/>
              <w:b w:val="0"/>
              <w:bCs w:val="0"/>
            </w:rPr>
            <w:t>第二部分 2022年度单位决算情况说明</w:t>
          </w:r>
          <w:r>
            <w:rPr>
              <w:rStyle w:val="28"/>
              <w:rFonts w:hint="eastAsia" w:ascii="黑体" w:hAnsi="黑体" w:eastAsia="黑体"/>
              <w:b w:val="0"/>
              <w:bCs w:val="0"/>
            </w:rPr>
            <w:tab/>
          </w:r>
          <w:r>
            <w:rPr>
              <w:rStyle w:val="28"/>
              <w:rFonts w:hint="eastAsia" w:ascii="黑体" w:hAnsi="黑体" w:eastAsia="黑体"/>
              <w:b w:val="0"/>
              <w:bCs w:val="0"/>
            </w:rPr>
            <w:fldChar w:fldCharType="begin"/>
          </w:r>
          <w:r>
            <w:rPr>
              <w:rStyle w:val="28"/>
              <w:rFonts w:hint="eastAsia" w:ascii="黑体" w:hAnsi="黑体" w:eastAsia="黑体"/>
              <w:b w:val="0"/>
              <w:bCs w:val="0"/>
            </w:rPr>
            <w:instrText xml:space="preserve"> PAGEREF _Toc11346 \h </w:instrText>
          </w:r>
          <w:r>
            <w:rPr>
              <w:rStyle w:val="28"/>
              <w:rFonts w:hint="eastAsia" w:ascii="黑体" w:hAnsi="黑体" w:eastAsia="黑体"/>
              <w:b w:val="0"/>
              <w:bCs w:val="0"/>
            </w:rPr>
            <w:fldChar w:fldCharType="separate"/>
          </w:r>
          <w:r>
            <w:rPr>
              <w:rStyle w:val="28"/>
              <w:rFonts w:hint="eastAsia" w:ascii="黑体" w:hAnsi="黑体" w:eastAsia="黑体"/>
              <w:b w:val="0"/>
              <w:bCs w:val="0"/>
            </w:rPr>
            <w:t>5</w:t>
          </w:r>
          <w:r>
            <w:rPr>
              <w:rStyle w:val="28"/>
              <w:rFonts w:hint="eastAsia" w:ascii="黑体" w:hAnsi="黑体" w:eastAsia="黑体"/>
              <w:b w:val="0"/>
              <w:bCs w:val="0"/>
            </w:rPr>
            <w:fldChar w:fldCharType="end"/>
          </w:r>
          <w:r>
            <w:rPr>
              <w:rStyle w:val="28"/>
              <w:rFonts w:hint="eastAsia" w:ascii="黑体" w:hAnsi="黑体" w:eastAsia="黑体"/>
              <w:b w:val="0"/>
              <w:bCs w:val="0"/>
            </w:rPr>
            <w:fldChar w:fldCharType="end"/>
          </w:r>
        </w:p>
        <w:p>
          <w:pPr>
            <w:pStyle w:val="34"/>
            <w:tabs>
              <w:tab w:val="right" w:leader="dot" w:pos="8306"/>
            </w:tabs>
            <w:ind w:left="420"/>
            <w:rPr>
              <w:rFonts w:ascii="仿宋_GB2312" w:eastAsia="仿宋_GB2312"/>
              <w:kern w:val="2"/>
              <w:sz w:val="32"/>
              <w:szCs w:val="32"/>
            </w:rPr>
          </w:pPr>
          <w:r>
            <w:fldChar w:fldCharType="begin"/>
          </w:r>
          <w:r>
            <w:instrText xml:space="preserve"> HYPERLINK \l "_Toc12753" </w:instrText>
          </w:r>
          <w:r>
            <w:fldChar w:fldCharType="separate"/>
          </w:r>
          <w:r>
            <w:rPr>
              <w:rFonts w:ascii="仿宋_GB2312" w:eastAsia="仿宋_GB2312"/>
              <w:kern w:val="2"/>
              <w:sz w:val="32"/>
              <w:szCs w:val="32"/>
            </w:rPr>
            <w:t xml:space="preserve">一、 </w:t>
          </w:r>
          <w:r>
            <w:rPr>
              <w:rFonts w:hint="eastAsia" w:ascii="仿宋_GB2312" w:eastAsia="仿宋_GB2312"/>
              <w:kern w:val="2"/>
              <w:sz w:val="32"/>
              <w:szCs w:val="32"/>
            </w:rPr>
            <w:t>收入支出决算总体情况说明</w:t>
          </w:r>
          <w:r>
            <w:rPr>
              <w:rFonts w:hint="eastAsia" w:ascii="仿宋_GB2312" w:eastAsia="仿宋_GB2312"/>
              <w:kern w:val="2"/>
              <w:sz w:val="32"/>
              <w:szCs w:val="32"/>
            </w:rPr>
            <w:tab/>
          </w:r>
          <w:r>
            <w:rPr>
              <w:rFonts w:hint="eastAsia" w:ascii="仿宋_GB2312" w:eastAsia="仿宋_GB2312"/>
              <w:kern w:val="2"/>
              <w:sz w:val="32"/>
              <w:szCs w:val="32"/>
            </w:rPr>
            <w:fldChar w:fldCharType="begin"/>
          </w:r>
          <w:r>
            <w:rPr>
              <w:rFonts w:hint="eastAsia" w:ascii="仿宋_GB2312" w:eastAsia="仿宋_GB2312"/>
              <w:kern w:val="2"/>
              <w:sz w:val="32"/>
              <w:szCs w:val="32"/>
            </w:rPr>
            <w:instrText xml:space="preserve"> PAGEREF _Toc12753 \h </w:instrText>
          </w:r>
          <w:r>
            <w:rPr>
              <w:rFonts w:hint="eastAsia" w:ascii="仿宋_GB2312" w:eastAsia="仿宋_GB2312"/>
              <w:kern w:val="2"/>
              <w:sz w:val="32"/>
              <w:szCs w:val="32"/>
            </w:rPr>
            <w:fldChar w:fldCharType="separate"/>
          </w:r>
          <w:r>
            <w:rPr>
              <w:rFonts w:hint="eastAsia" w:ascii="仿宋_GB2312" w:eastAsia="仿宋_GB2312"/>
              <w:kern w:val="2"/>
              <w:sz w:val="32"/>
              <w:szCs w:val="32"/>
            </w:rPr>
            <w:t>5</w:t>
          </w:r>
          <w:r>
            <w:rPr>
              <w:rFonts w:hint="eastAsia" w:ascii="仿宋_GB2312" w:eastAsia="仿宋_GB2312"/>
              <w:kern w:val="2"/>
              <w:sz w:val="32"/>
              <w:szCs w:val="32"/>
            </w:rPr>
            <w:fldChar w:fldCharType="end"/>
          </w:r>
          <w:r>
            <w:rPr>
              <w:rFonts w:hint="eastAsia" w:ascii="仿宋_GB2312" w:eastAsia="仿宋_GB2312"/>
              <w:kern w:val="2"/>
              <w:sz w:val="32"/>
              <w:szCs w:val="32"/>
            </w:rPr>
            <w:fldChar w:fldCharType="end"/>
          </w:r>
        </w:p>
        <w:p>
          <w:pPr>
            <w:pStyle w:val="34"/>
            <w:tabs>
              <w:tab w:val="right" w:leader="dot" w:pos="8306"/>
            </w:tabs>
            <w:ind w:left="420"/>
            <w:rPr>
              <w:rFonts w:ascii="仿宋_GB2312" w:eastAsia="仿宋_GB2312"/>
              <w:kern w:val="2"/>
              <w:sz w:val="32"/>
              <w:szCs w:val="32"/>
            </w:rPr>
          </w:pPr>
          <w:r>
            <w:fldChar w:fldCharType="begin"/>
          </w:r>
          <w:r>
            <w:instrText xml:space="preserve"> HYPERLINK \l "_Toc5231" </w:instrText>
          </w:r>
          <w:r>
            <w:fldChar w:fldCharType="separate"/>
          </w:r>
          <w:r>
            <w:rPr>
              <w:rFonts w:ascii="仿宋_GB2312" w:eastAsia="仿宋_GB2312"/>
              <w:kern w:val="2"/>
              <w:sz w:val="32"/>
              <w:szCs w:val="32"/>
            </w:rPr>
            <w:t xml:space="preserve">二、 </w:t>
          </w:r>
          <w:r>
            <w:rPr>
              <w:rFonts w:hint="eastAsia" w:ascii="仿宋_GB2312" w:eastAsia="仿宋_GB2312"/>
              <w:kern w:val="2"/>
              <w:sz w:val="32"/>
              <w:szCs w:val="32"/>
            </w:rPr>
            <w:t>收入决算情况说明</w:t>
          </w:r>
          <w:r>
            <w:rPr>
              <w:rFonts w:hint="eastAsia" w:ascii="仿宋_GB2312" w:eastAsia="仿宋_GB2312"/>
              <w:kern w:val="2"/>
              <w:sz w:val="32"/>
              <w:szCs w:val="32"/>
            </w:rPr>
            <w:tab/>
          </w:r>
          <w:r>
            <w:rPr>
              <w:rFonts w:hint="eastAsia" w:ascii="仿宋_GB2312" w:eastAsia="仿宋_GB2312"/>
              <w:kern w:val="2"/>
              <w:sz w:val="32"/>
              <w:szCs w:val="32"/>
            </w:rPr>
            <w:fldChar w:fldCharType="begin"/>
          </w:r>
          <w:r>
            <w:rPr>
              <w:rFonts w:hint="eastAsia" w:ascii="仿宋_GB2312" w:eastAsia="仿宋_GB2312"/>
              <w:kern w:val="2"/>
              <w:sz w:val="32"/>
              <w:szCs w:val="32"/>
            </w:rPr>
            <w:instrText xml:space="preserve"> PAGEREF _Toc5231 \h </w:instrText>
          </w:r>
          <w:r>
            <w:rPr>
              <w:rFonts w:hint="eastAsia" w:ascii="仿宋_GB2312" w:eastAsia="仿宋_GB2312"/>
              <w:kern w:val="2"/>
              <w:sz w:val="32"/>
              <w:szCs w:val="32"/>
            </w:rPr>
            <w:fldChar w:fldCharType="separate"/>
          </w:r>
          <w:r>
            <w:rPr>
              <w:rFonts w:hint="eastAsia" w:ascii="仿宋_GB2312" w:eastAsia="仿宋_GB2312"/>
              <w:kern w:val="2"/>
              <w:sz w:val="32"/>
              <w:szCs w:val="32"/>
            </w:rPr>
            <w:t>5</w:t>
          </w:r>
          <w:r>
            <w:rPr>
              <w:rFonts w:hint="eastAsia" w:ascii="仿宋_GB2312" w:eastAsia="仿宋_GB2312"/>
              <w:kern w:val="2"/>
              <w:sz w:val="32"/>
              <w:szCs w:val="32"/>
            </w:rPr>
            <w:fldChar w:fldCharType="end"/>
          </w:r>
          <w:r>
            <w:rPr>
              <w:rFonts w:hint="eastAsia" w:ascii="仿宋_GB2312" w:eastAsia="仿宋_GB2312"/>
              <w:kern w:val="2"/>
              <w:sz w:val="32"/>
              <w:szCs w:val="32"/>
            </w:rPr>
            <w:fldChar w:fldCharType="end"/>
          </w:r>
        </w:p>
        <w:p>
          <w:pPr>
            <w:pStyle w:val="34"/>
            <w:tabs>
              <w:tab w:val="right" w:leader="dot" w:pos="8306"/>
            </w:tabs>
            <w:ind w:left="420"/>
            <w:rPr>
              <w:rFonts w:ascii="仿宋_GB2312" w:eastAsia="仿宋_GB2312"/>
              <w:kern w:val="2"/>
              <w:sz w:val="32"/>
              <w:szCs w:val="32"/>
            </w:rPr>
          </w:pPr>
          <w:r>
            <w:fldChar w:fldCharType="begin"/>
          </w:r>
          <w:r>
            <w:instrText xml:space="preserve"> HYPERLINK \l "_Toc14904" </w:instrText>
          </w:r>
          <w:r>
            <w:fldChar w:fldCharType="separate"/>
          </w:r>
          <w:r>
            <w:rPr>
              <w:rFonts w:ascii="仿宋_GB2312" w:eastAsia="仿宋_GB2312"/>
              <w:kern w:val="2"/>
              <w:sz w:val="32"/>
              <w:szCs w:val="32"/>
            </w:rPr>
            <w:t xml:space="preserve">三、 </w:t>
          </w:r>
          <w:r>
            <w:rPr>
              <w:rFonts w:hint="eastAsia" w:ascii="仿宋_GB2312" w:eastAsia="仿宋_GB2312"/>
              <w:kern w:val="2"/>
              <w:sz w:val="32"/>
              <w:szCs w:val="32"/>
            </w:rPr>
            <w:t>支出决算情况说明</w:t>
          </w:r>
          <w:r>
            <w:rPr>
              <w:rFonts w:hint="eastAsia" w:ascii="仿宋_GB2312" w:eastAsia="仿宋_GB2312"/>
              <w:kern w:val="2"/>
              <w:sz w:val="32"/>
              <w:szCs w:val="32"/>
            </w:rPr>
            <w:tab/>
          </w:r>
          <w:r>
            <w:rPr>
              <w:rFonts w:hint="eastAsia" w:ascii="仿宋_GB2312" w:eastAsia="仿宋_GB2312"/>
              <w:kern w:val="2"/>
              <w:sz w:val="32"/>
              <w:szCs w:val="32"/>
            </w:rPr>
            <w:fldChar w:fldCharType="begin"/>
          </w:r>
          <w:r>
            <w:rPr>
              <w:rFonts w:hint="eastAsia" w:ascii="仿宋_GB2312" w:eastAsia="仿宋_GB2312"/>
              <w:kern w:val="2"/>
              <w:sz w:val="32"/>
              <w:szCs w:val="32"/>
            </w:rPr>
            <w:instrText xml:space="preserve"> PAGEREF _Toc14904 \h </w:instrText>
          </w:r>
          <w:r>
            <w:rPr>
              <w:rFonts w:hint="eastAsia" w:ascii="仿宋_GB2312" w:eastAsia="仿宋_GB2312"/>
              <w:kern w:val="2"/>
              <w:sz w:val="32"/>
              <w:szCs w:val="32"/>
            </w:rPr>
            <w:fldChar w:fldCharType="separate"/>
          </w:r>
          <w:r>
            <w:rPr>
              <w:rFonts w:hint="eastAsia" w:ascii="仿宋_GB2312" w:eastAsia="仿宋_GB2312"/>
              <w:kern w:val="2"/>
              <w:sz w:val="32"/>
              <w:szCs w:val="32"/>
            </w:rPr>
            <w:t>6</w:t>
          </w:r>
          <w:r>
            <w:rPr>
              <w:rFonts w:hint="eastAsia" w:ascii="仿宋_GB2312" w:eastAsia="仿宋_GB2312"/>
              <w:kern w:val="2"/>
              <w:sz w:val="32"/>
              <w:szCs w:val="32"/>
            </w:rPr>
            <w:fldChar w:fldCharType="end"/>
          </w:r>
          <w:r>
            <w:rPr>
              <w:rFonts w:hint="eastAsia" w:ascii="仿宋_GB2312" w:eastAsia="仿宋_GB2312"/>
              <w:kern w:val="2"/>
              <w:sz w:val="32"/>
              <w:szCs w:val="32"/>
            </w:rPr>
            <w:fldChar w:fldCharType="end"/>
          </w:r>
        </w:p>
        <w:p>
          <w:pPr>
            <w:pStyle w:val="34"/>
            <w:tabs>
              <w:tab w:val="right" w:leader="dot" w:pos="8306"/>
            </w:tabs>
            <w:ind w:left="420"/>
            <w:rPr>
              <w:rFonts w:ascii="仿宋_GB2312" w:eastAsia="仿宋_GB2312"/>
              <w:kern w:val="2"/>
              <w:sz w:val="32"/>
              <w:szCs w:val="32"/>
            </w:rPr>
          </w:pPr>
          <w:r>
            <w:fldChar w:fldCharType="begin"/>
          </w:r>
          <w:r>
            <w:instrText xml:space="preserve"> HYPERLINK \l "_Toc2908" </w:instrText>
          </w:r>
          <w:r>
            <w:fldChar w:fldCharType="separate"/>
          </w:r>
          <w:r>
            <w:rPr>
              <w:rFonts w:hint="eastAsia" w:ascii="仿宋_GB2312" w:eastAsia="仿宋_GB2312"/>
              <w:kern w:val="2"/>
              <w:sz w:val="32"/>
              <w:szCs w:val="32"/>
            </w:rPr>
            <w:t>四、财政拨款收入支出决算总体情况说明</w:t>
          </w:r>
          <w:r>
            <w:rPr>
              <w:rFonts w:hint="eastAsia" w:ascii="仿宋_GB2312" w:eastAsia="仿宋_GB2312"/>
              <w:kern w:val="2"/>
              <w:sz w:val="32"/>
              <w:szCs w:val="32"/>
            </w:rPr>
            <w:tab/>
          </w:r>
          <w:r>
            <w:rPr>
              <w:rFonts w:hint="eastAsia" w:ascii="仿宋_GB2312" w:eastAsia="仿宋_GB2312"/>
              <w:kern w:val="2"/>
              <w:sz w:val="32"/>
              <w:szCs w:val="32"/>
            </w:rPr>
            <w:fldChar w:fldCharType="begin"/>
          </w:r>
          <w:r>
            <w:rPr>
              <w:rFonts w:hint="eastAsia" w:ascii="仿宋_GB2312" w:eastAsia="仿宋_GB2312"/>
              <w:kern w:val="2"/>
              <w:sz w:val="32"/>
              <w:szCs w:val="32"/>
            </w:rPr>
            <w:instrText xml:space="preserve"> PAGEREF _Toc2908 \h </w:instrText>
          </w:r>
          <w:r>
            <w:rPr>
              <w:rFonts w:hint="eastAsia" w:ascii="仿宋_GB2312" w:eastAsia="仿宋_GB2312"/>
              <w:kern w:val="2"/>
              <w:sz w:val="32"/>
              <w:szCs w:val="32"/>
            </w:rPr>
            <w:fldChar w:fldCharType="separate"/>
          </w:r>
          <w:r>
            <w:rPr>
              <w:rFonts w:hint="eastAsia" w:ascii="仿宋_GB2312" w:eastAsia="仿宋_GB2312"/>
              <w:kern w:val="2"/>
              <w:sz w:val="32"/>
              <w:szCs w:val="32"/>
            </w:rPr>
            <w:t>6</w:t>
          </w:r>
          <w:r>
            <w:rPr>
              <w:rFonts w:hint="eastAsia" w:ascii="仿宋_GB2312" w:eastAsia="仿宋_GB2312"/>
              <w:kern w:val="2"/>
              <w:sz w:val="32"/>
              <w:szCs w:val="32"/>
            </w:rPr>
            <w:fldChar w:fldCharType="end"/>
          </w:r>
          <w:r>
            <w:rPr>
              <w:rFonts w:hint="eastAsia" w:ascii="仿宋_GB2312" w:eastAsia="仿宋_GB2312"/>
              <w:kern w:val="2"/>
              <w:sz w:val="32"/>
              <w:szCs w:val="32"/>
            </w:rPr>
            <w:fldChar w:fldCharType="end"/>
          </w:r>
        </w:p>
        <w:p>
          <w:pPr>
            <w:pStyle w:val="34"/>
            <w:tabs>
              <w:tab w:val="right" w:leader="dot" w:pos="8306"/>
            </w:tabs>
            <w:ind w:left="420"/>
            <w:rPr>
              <w:rFonts w:ascii="仿宋_GB2312" w:eastAsia="仿宋_GB2312"/>
              <w:kern w:val="2"/>
              <w:sz w:val="32"/>
              <w:szCs w:val="32"/>
            </w:rPr>
          </w:pPr>
          <w:r>
            <w:fldChar w:fldCharType="begin"/>
          </w:r>
          <w:r>
            <w:instrText xml:space="preserve"> HYPERLINK \l "_Toc14251" </w:instrText>
          </w:r>
          <w:r>
            <w:fldChar w:fldCharType="separate"/>
          </w:r>
          <w:r>
            <w:rPr>
              <w:rFonts w:hint="eastAsia" w:ascii="仿宋_GB2312" w:eastAsia="仿宋_GB2312"/>
              <w:kern w:val="2"/>
              <w:sz w:val="32"/>
              <w:szCs w:val="32"/>
            </w:rPr>
            <w:t>五、一般公共预算财政拨款支出决算情况说明</w:t>
          </w:r>
          <w:r>
            <w:rPr>
              <w:rFonts w:hint="eastAsia" w:ascii="仿宋_GB2312" w:eastAsia="仿宋_GB2312"/>
              <w:kern w:val="2"/>
              <w:sz w:val="32"/>
              <w:szCs w:val="32"/>
            </w:rPr>
            <w:tab/>
          </w:r>
          <w:r>
            <w:rPr>
              <w:rFonts w:hint="eastAsia" w:ascii="仿宋_GB2312" w:eastAsia="仿宋_GB2312"/>
              <w:kern w:val="2"/>
              <w:sz w:val="32"/>
              <w:szCs w:val="32"/>
            </w:rPr>
            <w:fldChar w:fldCharType="begin"/>
          </w:r>
          <w:r>
            <w:rPr>
              <w:rFonts w:hint="eastAsia" w:ascii="仿宋_GB2312" w:eastAsia="仿宋_GB2312"/>
              <w:kern w:val="2"/>
              <w:sz w:val="32"/>
              <w:szCs w:val="32"/>
            </w:rPr>
            <w:instrText xml:space="preserve"> PAGEREF _Toc14251 \h </w:instrText>
          </w:r>
          <w:r>
            <w:rPr>
              <w:rFonts w:hint="eastAsia" w:ascii="仿宋_GB2312" w:eastAsia="仿宋_GB2312"/>
              <w:kern w:val="2"/>
              <w:sz w:val="32"/>
              <w:szCs w:val="32"/>
            </w:rPr>
            <w:fldChar w:fldCharType="separate"/>
          </w:r>
          <w:r>
            <w:rPr>
              <w:rFonts w:hint="eastAsia" w:ascii="仿宋_GB2312" w:eastAsia="仿宋_GB2312"/>
              <w:kern w:val="2"/>
              <w:sz w:val="32"/>
              <w:szCs w:val="32"/>
            </w:rPr>
            <w:t>7</w:t>
          </w:r>
          <w:r>
            <w:rPr>
              <w:rFonts w:hint="eastAsia" w:ascii="仿宋_GB2312" w:eastAsia="仿宋_GB2312"/>
              <w:kern w:val="2"/>
              <w:sz w:val="32"/>
              <w:szCs w:val="32"/>
            </w:rPr>
            <w:fldChar w:fldCharType="end"/>
          </w:r>
          <w:r>
            <w:rPr>
              <w:rFonts w:hint="eastAsia" w:ascii="仿宋_GB2312" w:eastAsia="仿宋_GB2312"/>
              <w:kern w:val="2"/>
              <w:sz w:val="32"/>
              <w:szCs w:val="32"/>
            </w:rPr>
            <w:fldChar w:fldCharType="end"/>
          </w:r>
        </w:p>
        <w:p>
          <w:pPr>
            <w:pStyle w:val="34"/>
            <w:tabs>
              <w:tab w:val="right" w:leader="dot" w:pos="8306"/>
            </w:tabs>
            <w:ind w:left="420"/>
            <w:rPr>
              <w:rFonts w:ascii="仿宋_GB2312" w:eastAsia="仿宋_GB2312"/>
              <w:kern w:val="2"/>
              <w:sz w:val="32"/>
              <w:szCs w:val="32"/>
            </w:rPr>
          </w:pPr>
          <w:r>
            <w:fldChar w:fldCharType="begin"/>
          </w:r>
          <w:r>
            <w:instrText xml:space="preserve"> HYPERLINK \l "_Toc8117" </w:instrText>
          </w:r>
          <w:r>
            <w:fldChar w:fldCharType="separate"/>
          </w:r>
          <w:r>
            <w:rPr>
              <w:rFonts w:hint="eastAsia" w:ascii="仿宋_GB2312" w:eastAsia="仿宋_GB2312"/>
              <w:kern w:val="2"/>
              <w:sz w:val="32"/>
              <w:szCs w:val="32"/>
            </w:rPr>
            <w:t>六、一般公共预算财政拨款基本支出决算情况说明</w:t>
          </w:r>
          <w:r>
            <w:rPr>
              <w:rFonts w:hint="eastAsia" w:ascii="仿宋_GB2312" w:eastAsia="仿宋_GB2312"/>
              <w:kern w:val="2"/>
              <w:sz w:val="32"/>
              <w:szCs w:val="32"/>
            </w:rPr>
            <w:tab/>
          </w:r>
          <w:r>
            <w:rPr>
              <w:rFonts w:hint="eastAsia" w:ascii="仿宋_GB2312" w:eastAsia="仿宋_GB2312"/>
              <w:kern w:val="2"/>
              <w:sz w:val="32"/>
              <w:szCs w:val="32"/>
            </w:rPr>
            <w:fldChar w:fldCharType="begin"/>
          </w:r>
          <w:r>
            <w:rPr>
              <w:rFonts w:hint="eastAsia" w:ascii="仿宋_GB2312" w:eastAsia="仿宋_GB2312"/>
              <w:kern w:val="2"/>
              <w:sz w:val="32"/>
              <w:szCs w:val="32"/>
            </w:rPr>
            <w:instrText xml:space="preserve"> PAGEREF _Toc8117 \h </w:instrText>
          </w:r>
          <w:r>
            <w:rPr>
              <w:rFonts w:hint="eastAsia" w:ascii="仿宋_GB2312" w:eastAsia="仿宋_GB2312"/>
              <w:kern w:val="2"/>
              <w:sz w:val="32"/>
              <w:szCs w:val="32"/>
            </w:rPr>
            <w:fldChar w:fldCharType="separate"/>
          </w:r>
          <w:r>
            <w:rPr>
              <w:rFonts w:hint="eastAsia" w:ascii="仿宋_GB2312" w:eastAsia="仿宋_GB2312"/>
              <w:kern w:val="2"/>
              <w:sz w:val="32"/>
              <w:szCs w:val="32"/>
            </w:rPr>
            <w:t>9</w:t>
          </w:r>
          <w:r>
            <w:rPr>
              <w:rFonts w:hint="eastAsia" w:ascii="仿宋_GB2312" w:eastAsia="仿宋_GB2312"/>
              <w:kern w:val="2"/>
              <w:sz w:val="32"/>
              <w:szCs w:val="32"/>
            </w:rPr>
            <w:fldChar w:fldCharType="end"/>
          </w:r>
          <w:r>
            <w:rPr>
              <w:rFonts w:hint="eastAsia" w:ascii="仿宋_GB2312" w:eastAsia="仿宋_GB2312"/>
              <w:kern w:val="2"/>
              <w:sz w:val="32"/>
              <w:szCs w:val="32"/>
            </w:rPr>
            <w:fldChar w:fldCharType="end"/>
          </w:r>
        </w:p>
        <w:p>
          <w:pPr>
            <w:pStyle w:val="34"/>
            <w:tabs>
              <w:tab w:val="right" w:leader="dot" w:pos="8306"/>
            </w:tabs>
            <w:ind w:left="420"/>
            <w:rPr>
              <w:rFonts w:ascii="仿宋_GB2312" w:eastAsia="仿宋_GB2312"/>
              <w:kern w:val="2"/>
              <w:sz w:val="32"/>
              <w:szCs w:val="32"/>
            </w:rPr>
          </w:pPr>
          <w:r>
            <w:fldChar w:fldCharType="begin"/>
          </w:r>
          <w:r>
            <w:instrText xml:space="preserve"> HYPERLINK \l "_Toc26850" </w:instrText>
          </w:r>
          <w:r>
            <w:fldChar w:fldCharType="separate"/>
          </w:r>
          <w:r>
            <w:rPr>
              <w:rFonts w:hint="eastAsia" w:ascii="仿宋_GB2312" w:eastAsia="仿宋_GB2312"/>
              <w:kern w:val="2"/>
              <w:sz w:val="32"/>
              <w:szCs w:val="32"/>
            </w:rPr>
            <w:t>七、财政拨款“三公”经费支出决算情况说明</w:t>
          </w:r>
          <w:r>
            <w:rPr>
              <w:rFonts w:hint="eastAsia" w:ascii="仿宋_GB2312" w:eastAsia="仿宋_GB2312"/>
              <w:kern w:val="2"/>
              <w:sz w:val="32"/>
              <w:szCs w:val="32"/>
            </w:rPr>
            <w:tab/>
          </w:r>
          <w:r>
            <w:rPr>
              <w:rFonts w:hint="eastAsia" w:ascii="仿宋_GB2312" w:eastAsia="仿宋_GB2312"/>
              <w:kern w:val="2"/>
              <w:sz w:val="32"/>
              <w:szCs w:val="32"/>
            </w:rPr>
            <w:fldChar w:fldCharType="begin"/>
          </w:r>
          <w:r>
            <w:rPr>
              <w:rFonts w:hint="eastAsia" w:ascii="仿宋_GB2312" w:eastAsia="仿宋_GB2312"/>
              <w:kern w:val="2"/>
              <w:sz w:val="32"/>
              <w:szCs w:val="32"/>
            </w:rPr>
            <w:instrText xml:space="preserve"> PAGEREF _Toc26850 \h </w:instrText>
          </w:r>
          <w:r>
            <w:rPr>
              <w:rFonts w:hint="eastAsia" w:ascii="仿宋_GB2312" w:eastAsia="仿宋_GB2312"/>
              <w:kern w:val="2"/>
              <w:sz w:val="32"/>
              <w:szCs w:val="32"/>
            </w:rPr>
            <w:fldChar w:fldCharType="separate"/>
          </w:r>
          <w:r>
            <w:rPr>
              <w:rFonts w:hint="eastAsia" w:ascii="仿宋_GB2312" w:eastAsia="仿宋_GB2312"/>
              <w:kern w:val="2"/>
              <w:sz w:val="32"/>
              <w:szCs w:val="32"/>
            </w:rPr>
            <w:t>10</w:t>
          </w:r>
          <w:r>
            <w:rPr>
              <w:rFonts w:hint="eastAsia" w:ascii="仿宋_GB2312" w:eastAsia="仿宋_GB2312"/>
              <w:kern w:val="2"/>
              <w:sz w:val="32"/>
              <w:szCs w:val="32"/>
            </w:rPr>
            <w:fldChar w:fldCharType="end"/>
          </w:r>
          <w:r>
            <w:rPr>
              <w:rFonts w:hint="eastAsia" w:ascii="仿宋_GB2312" w:eastAsia="仿宋_GB2312"/>
              <w:kern w:val="2"/>
              <w:sz w:val="32"/>
              <w:szCs w:val="32"/>
            </w:rPr>
            <w:fldChar w:fldCharType="end"/>
          </w:r>
        </w:p>
        <w:p>
          <w:pPr>
            <w:pStyle w:val="34"/>
            <w:tabs>
              <w:tab w:val="right" w:leader="dot" w:pos="8306"/>
            </w:tabs>
            <w:ind w:left="420"/>
            <w:rPr>
              <w:rFonts w:ascii="仿宋_GB2312" w:eastAsia="仿宋_GB2312"/>
              <w:kern w:val="2"/>
              <w:sz w:val="32"/>
              <w:szCs w:val="32"/>
            </w:rPr>
          </w:pPr>
          <w:r>
            <w:fldChar w:fldCharType="begin"/>
          </w:r>
          <w:r>
            <w:instrText xml:space="preserve"> HYPERLINK \l "_Toc13540" </w:instrText>
          </w:r>
          <w:r>
            <w:fldChar w:fldCharType="separate"/>
          </w:r>
          <w:r>
            <w:rPr>
              <w:rFonts w:hint="eastAsia" w:ascii="仿宋_GB2312" w:eastAsia="仿宋_GB2312"/>
              <w:kern w:val="2"/>
              <w:sz w:val="32"/>
              <w:szCs w:val="32"/>
            </w:rPr>
            <w:t>八、政府性基金预算支出决算情况说明</w:t>
          </w:r>
          <w:r>
            <w:rPr>
              <w:rFonts w:hint="eastAsia" w:ascii="仿宋_GB2312" w:eastAsia="仿宋_GB2312"/>
              <w:kern w:val="2"/>
              <w:sz w:val="32"/>
              <w:szCs w:val="32"/>
            </w:rPr>
            <w:tab/>
          </w:r>
          <w:r>
            <w:rPr>
              <w:rFonts w:hint="eastAsia" w:ascii="仿宋_GB2312" w:eastAsia="仿宋_GB2312"/>
              <w:kern w:val="2"/>
              <w:sz w:val="32"/>
              <w:szCs w:val="32"/>
            </w:rPr>
            <w:fldChar w:fldCharType="begin"/>
          </w:r>
          <w:r>
            <w:rPr>
              <w:rFonts w:hint="eastAsia" w:ascii="仿宋_GB2312" w:eastAsia="仿宋_GB2312"/>
              <w:kern w:val="2"/>
              <w:sz w:val="32"/>
              <w:szCs w:val="32"/>
            </w:rPr>
            <w:instrText xml:space="preserve"> PAGEREF _Toc13540 \h </w:instrText>
          </w:r>
          <w:r>
            <w:rPr>
              <w:rFonts w:hint="eastAsia" w:ascii="仿宋_GB2312" w:eastAsia="仿宋_GB2312"/>
              <w:kern w:val="2"/>
              <w:sz w:val="32"/>
              <w:szCs w:val="32"/>
            </w:rPr>
            <w:fldChar w:fldCharType="separate"/>
          </w:r>
          <w:r>
            <w:rPr>
              <w:rFonts w:hint="eastAsia" w:ascii="仿宋_GB2312" w:eastAsia="仿宋_GB2312"/>
              <w:kern w:val="2"/>
              <w:sz w:val="32"/>
              <w:szCs w:val="32"/>
            </w:rPr>
            <w:t>11</w:t>
          </w:r>
          <w:r>
            <w:rPr>
              <w:rFonts w:hint="eastAsia" w:ascii="仿宋_GB2312" w:eastAsia="仿宋_GB2312"/>
              <w:kern w:val="2"/>
              <w:sz w:val="32"/>
              <w:szCs w:val="32"/>
            </w:rPr>
            <w:fldChar w:fldCharType="end"/>
          </w:r>
          <w:r>
            <w:rPr>
              <w:rFonts w:hint="eastAsia" w:ascii="仿宋_GB2312" w:eastAsia="仿宋_GB2312"/>
              <w:kern w:val="2"/>
              <w:sz w:val="32"/>
              <w:szCs w:val="32"/>
            </w:rPr>
            <w:fldChar w:fldCharType="end"/>
          </w:r>
        </w:p>
        <w:p>
          <w:pPr>
            <w:pStyle w:val="34"/>
            <w:tabs>
              <w:tab w:val="right" w:leader="dot" w:pos="8306"/>
            </w:tabs>
            <w:ind w:left="420"/>
            <w:rPr>
              <w:rFonts w:ascii="仿宋_GB2312" w:eastAsia="仿宋_GB2312"/>
              <w:kern w:val="2"/>
              <w:sz w:val="32"/>
              <w:szCs w:val="32"/>
            </w:rPr>
          </w:pPr>
          <w:r>
            <w:fldChar w:fldCharType="begin"/>
          </w:r>
          <w:r>
            <w:instrText xml:space="preserve"> HYPERLINK \l "_Toc30193" </w:instrText>
          </w:r>
          <w:r>
            <w:fldChar w:fldCharType="separate"/>
          </w:r>
          <w:r>
            <w:rPr>
              <w:rFonts w:hint="eastAsia" w:ascii="仿宋_GB2312" w:eastAsia="仿宋_GB2312"/>
              <w:kern w:val="2"/>
              <w:sz w:val="32"/>
              <w:szCs w:val="32"/>
            </w:rPr>
            <w:t>九、 国有资本经营预算支出决算情况说明</w:t>
          </w:r>
          <w:r>
            <w:rPr>
              <w:rFonts w:hint="eastAsia" w:ascii="仿宋_GB2312" w:eastAsia="仿宋_GB2312"/>
              <w:kern w:val="2"/>
              <w:sz w:val="32"/>
              <w:szCs w:val="32"/>
            </w:rPr>
            <w:tab/>
          </w:r>
          <w:r>
            <w:rPr>
              <w:rFonts w:hint="eastAsia" w:ascii="仿宋_GB2312" w:eastAsia="仿宋_GB2312"/>
              <w:kern w:val="2"/>
              <w:sz w:val="32"/>
              <w:szCs w:val="32"/>
            </w:rPr>
            <w:fldChar w:fldCharType="begin"/>
          </w:r>
          <w:r>
            <w:rPr>
              <w:rFonts w:hint="eastAsia" w:ascii="仿宋_GB2312" w:eastAsia="仿宋_GB2312"/>
              <w:kern w:val="2"/>
              <w:sz w:val="32"/>
              <w:szCs w:val="32"/>
            </w:rPr>
            <w:instrText xml:space="preserve"> PAGEREF _Toc30193 \h </w:instrText>
          </w:r>
          <w:r>
            <w:rPr>
              <w:rFonts w:hint="eastAsia" w:ascii="仿宋_GB2312" w:eastAsia="仿宋_GB2312"/>
              <w:kern w:val="2"/>
              <w:sz w:val="32"/>
              <w:szCs w:val="32"/>
            </w:rPr>
            <w:fldChar w:fldCharType="separate"/>
          </w:r>
          <w:r>
            <w:rPr>
              <w:rFonts w:hint="eastAsia" w:ascii="仿宋_GB2312" w:eastAsia="仿宋_GB2312"/>
              <w:kern w:val="2"/>
              <w:sz w:val="32"/>
              <w:szCs w:val="32"/>
            </w:rPr>
            <w:t>11</w:t>
          </w:r>
          <w:r>
            <w:rPr>
              <w:rFonts w:hint="eastAsia" w:ascii="仿宋_GB2312" w:eastAsia="仿宋_GB2312"/>
              <w:kern w:val="2"/>
              <w:sz w:val="32"/>
              <w:szCs w:val="32"/>
            </w:rPr>
            <w:fldChar w:fldCharType="end"/>
          </w:r>
          <w:r>
            <w:rPr>
              <w:rFonts w:hint="eastAsia" w:ascii="仿宋_GB2312" w:eastAsia="仿宋_GB2312"/>
              <w:kern w:val="2"/>
              <w:sz w:val="32"/>
              <w:szCs w:val="32"/>
            </w:rPr>
            <w:fldChar w:fldCharType="end"/>
          </w:r>
        </w:p>
        <w:p>
          <w:pPr>
            <w:pStyle w:val="34"/>
            <w:tabs>
              <w:tab w:val="right" w:leader="dot" w:pos="8306"/>
            </w:tabs>
            <w:ind w:left="420"/>
            <w:rPr>
              <w:rStyle w:val="28"/>
              <w:rFonts w:ascii="黑体" w:hAnsi="黑体" w:eastAsia="黑体"/>
              <w:b w:val="0"/>
              <w:bCs w:val="0"/>
            </w:rPr>
          </w:pPr>
          <w:r>
            <w:fldChar w:fldCharType="begin"/>
          </w:r>
          <w:r>
            <w:instrText xml:space="preserve"> HYPERLINK \l "_Toc8367" </w:instrText>
          </w:r>
          <w:r>
            <w:fldChar w:fldCharType="separate"/>
          </w:r>
          <w:r>
            <w:rPr>
              <w:rFonts w:hint="eastAsia" w:ascii="仿宋_GB2312" w:eastAsia="仿宋_GB2312"/>
              <w:kern w:val="2"/>
              <w:sz w:val="32"/>
              <w:szCs w:val="32"/>
            </w:rPr>
            <w:t>十、 其他重要事项的情况说明</w:t>
          </w:r>
          <w:r>
            <w:rPr>
              <w:rFonts w:hint="eastAsia" w:ascii="仿宋_GB2312" w:eastAsia="仿宋_GB2312"/>
              <w:kern w:val="2"/>
              <w:sz w:val="32"/>
              <w:szCs w:val="32"/>
            </w:rPr>
            <w:tab/>
          </w:r>
          <w:r>
            <w:rPr>
              <w:rFonts w:hint="eastAsia" w:ascii="仿宋_GB2312" w:eastAsia="仿宋_GB2312"/>
              <w:kern w:val="2"/>
              <w:sz w:val="32"/>
              <w:szCs w:val="32"/>
            </w:rPr>
            <w:fldChar w:fldCharType="begin"/>
          </w:r>
          <w:r>
            <w:rPr>
              <w:rFonts w:hint="eastAsia" w:ascii="仿宋_GB2312" w:eastAsia="仿宋_GB2312"/>
              <w:kern w:val="2"/>
              <w:sz w:val="32"/>
              <w:szCs w:val="32"/>
            </w:rPr>
            <w:instrText xml:space="preserve"> PAGEREF _Toc8367 \h </w:instrText>
          </w:r>
          <w:r>
            <w:rPr>
              <w:rFonts w:hint="eastAsia" w:ascii="仿宋_GB2312" w:eastAsia="仿宋_GB2312"/>
              <w:kern w:val="2"/>
              <w:sz w:val="32"/>
              <w:szCs w:val="32"/>
            </w:rPr>
            <w:fldChar w:fldCharType="separate"/>
          </w:r>
          <w:r>
            <w:rPr>
              <w:rFonts w:hint="eastAsia" w:ascii="仿宋_GB2312" w:eastAsia="仿宋_GB2312"/>
              <w:kern w:val="2"/>
              <w:sz w:val="32"/>
              <w:szCs w:val="32"/>
            </w:rPr>
            <w:t>11</w:t>
          </w:r>
          <w:r>
            <w:rPr>
              <w:rFonts w:hint="eastAsia" w:ascii="仿宋_GB2312" w:eastAsia="仿宋_GB2312"/>
              <w:kern w:val="2"/>
              <w:sz w:val="32"/>
              <w:szCs w:val="32"/>
            </w:rPr>
            <w:fldChar w:fldCharType="end"/>
          </w:r>
          <w:r>
            <w:rPr>
              <w:rFonts w:hint="eastAsia" w:ascii="仿宋_GB2312" w:eastAsia="仿宋_GB2312"/>
              <w:kern w:val="2"/>
              <w:sz w:val="32"/>
              <w:szCs w:val="32"/>
            </w:rPr>
            <w:fldChar w:fldCharType="end"/>
          </w:r>
        </w:p>
        <w:p>
          <w:pPr>
            <w:pStyle w:val="33"/>
            <w:tabs>
              <w:tab w:val="right" w:leader="dot" w:pos="8306"/>
            </w:tabs>
            <w:rPr>
              <w:rStyle w:val="28"/>
              <w:rFonts w:ascii="黑体" w:hAnsi="黑体" w:eastAsia="黑体"/>
              <w:b w:val="0"/>
              <w:bCs w:val="0"/>
            </w:rPr>
          </w:pPr>
          <w:r>
            <w:fldChar w:fldCharType="begin"/>
          </w:r>
          <w:r>
            <w:instrText xml:space="preserve"> HYPERLINK \l "_Toc208" </w:instrText>
          </w:r>
          <w:r>
            <w:fldChar w:fldCharType="separate"/>
          </w:r>
          <w:r>
            <w:rPr>
              <w:rStyle w:val="28"/>
              <w:rFonts w:hint="eastAsia" w:ascii="黑体" w:hAnsi="黑体" w:eastAsia="黑体"/>
              <w:b w:val="0"/>
              <w:bCs w:val="0"/>
            </w:rPr>
            <w:t>第三部分 名词解释</w:t>
          </w:r>
          <w:r>
            <w:rPr>
              <w:rStyle w:val="28"/>
              <w:rFonts w:hint="eastAsia" w:ascii="黑体" w:hAnsi="黑体" w:eastAsia="黑体"/>
              <w:b w:val="0"/>
              <w:bCs w:val="0"/>
            </w:rPr>
            <w:tab/>
          </w:r>
          <w:r>
            <w:rPr>
              <w:rStyle w:val="28"/>
              <w:rFonts w:hint="eastAsia" w:ascii="黑体" w:hAnsi="黑体" w:eastAsia="黑体"/>
              <w:b w:val="0"/>
              <w:bCs w:val="0"/>
            </w:rPr>
            <w:fldChar w:fldCharType="begin"/>
          </w:r>
          <w:r>
            <w:rPr>
              <w:rStyle w:val="28"/>
              <w:rFonts w:hint="eastAsia" w:ascii="黑体" w:hAnsi="黑体" w:eastAsia="黑体"/>
              <w:b w:val="0"/>
              <w:bCs w:val="0"/>
            </w:rPr>
            <w:instrText xml:space="preserve"> PAGEREF _Toc208 \h </w:instrText>
          </w:r>
          <w:r>
            <w:rPr>
              <w:rStyle w:val="28"/>
              <w:rFonts w:hint="eastAsia" w:ascii="黑体" w:hAnsi="黑体" w:eastAsia="黑体"/>
              <w:b w:val="0"/>
              <w:bCs w:val="0"/>
            </w:rPr>
            <w:fldChar w:fldCharType="separate"/>
          </w:r>
          <w:r>
            <w:rPr>
              <w:rStyle w:val="28"/>
              <w:rFonts w:hint="eastAsia" w:ascii="黑体" w:hAnsi="黑体" w:eastAsia="黑体"/>
              <w:b w:val="0"/>
              <w:bCs w:val="0"/>
            </w:rPr>
            <w:t>13</w:t>
          </w:r>
          <w:r>
            <w:rPr>
              <w:rStyle w:val="28"/>
              <w:rFonts w:hint="eastAsia" w:ascii="黑体" w:hAnsi="黑体" w:eastAsia="黑体"/>
              <w:b w:val="0"/>
              <w:bCs w:val="0"/>
            </w:rPr>
            <w:fldChar w:fldCharType="end"/>
          </w:r>
          <w:r>
            <w:rPr>
              <w:rStyle w:val="28"/>
              <w:rFonts w:hint="eastAsia" w:ascii="黑体" w:hAnsi="黑体" w:eastAsia="黑体"/>
              <w:b w:val="0"/>
              <w:bCs w:val="0"/>
            </w:rPr>
            <w:fldChar w:fldCharType="end"/>
          </w:r>
        </w:p>
        <w:p>
          <w:pPr>
            <w:pStyle w:val="33"/>
            <w:tabs>
              <w:tab w:val="right" w:leader="dot" w:pos="8306"/>
            </w:tabs>
            <w:rPr>
              <w:rStyle w:val="28"/>
              <w:rFonts w:ascii="黑体" w:hAnsi="黑体" w:eastAsia="黑体"/>
              <w:b w:val="0"/>
              <w:bCs w:val="0"/>
            </w:rPr>
          </w:pPr>
          <w:r>
            <w:fldChar w:fldCharType="begin"/>
          </w:r>
          <w:r>
            <w:instrText xml:space="preserve"> HYPERLINK \l "_Toc32309" </w:instrText>
          </w:r>
          <w:r>
            <w:fldChar w:fldCharType="separate"/>
          </w:r>
          <w:r>
            <w:rPr>
              <w:rStyle w:val="28"/>
              <w:rFonts w:hint="eastAsia" w:ascii="黑体" w:hAnsi="黑体" w:eastAsia="黑体"/>
              <w:b w:val="0"/>
              <w:bCs w:val="0"/>
            </w:rPr>
            <w:t>第四部分 附件</w:t>
          </w:r>
          <w:r>
            <w:rPr>
              <w:rStyle w:val="28"/>
              <w:rFonts w:hint="eastAsia" w:ascii="黑体" w:hAnsi="黑体" w:eastAsia="黑体"/>
              <w:b w:val="0"/>
              <w:bCs w:val="0"/>
            </w:rPr>
            <w:tab/>
          </w:r>
          <w:r>
            <w:rPr>
              <w:rStyle w:val="28"/>
              <w:rFonts w:hint="eastAsia" w:ascii="黑体" w:hAnsi="黑体" w:eastAsia="黑体"/>
              <w:b w:val="0"/>
              <w:bCs w:val="0"/>
            </w:rPr>
            <w:fldChar w:fldCharType="begin"/>
          </w:r>
          <w:r>
            <w:rPr>
              <w:rStyle w:val="28"/>
              <w:rFonts w:hint="eastAsia" w:ascii="黑体" w:hAnsi="黑体" w:eastAsia="黑体"/>
              <w:b w:val="0"/>
              <w:bCs w:val="0"/>
            </w:rPr>
            <w:instrText xml:space="preserve"> PAGEREF _Toc32309 \h </w:instrText>
          </w:r>
          <w:r>
            <w:rPr>
              <w:rStyle w:val="28"/>
              <w:rFonts w:hint="eastAsia" w:ascii="黑体" w:hAnsi="黑体" w:eastAsia="黑体"/>
              <w:b w:val="0"/>
              <w:bCs w:val="0"/>
            </w:rPr>
            <w:fldChar w:fldCharType="separate"/>
          </w:r>
          <w:r>
            <w:rPr>
              <w:rStyle w:val="28"/>
              <w:rFonts w:hint="eastAsia" w:ascii="黑体" w:hAnsi="黑体" w:eastAsia="黑体"/>
              <w:b w:val="0"/>
              <w:bCs w:val="0"/>
            </w:rPr>
            <w:t>16</w:t>
          </w:r>
          <w:r>
            <w:rPr>
              <w:rStyle w:val="28"/>
              <w:rFonts w:hint="eastAsia" w:ascii="黑体" w:hAnsi="黑体" w:eastAsia="黑体"/>
              <w:b w:val="0"/>
              <w:bCs w:val="0"/>
            </w:rPr>
            <w:fldChar w:fldCharType="end"/>
          </w:r>
          <w:r>
            <w:rPr>
              <w:rStyle w:val="28"/>
              <w:rFonts w:hint="eastAsia" w:ascii="黑体" w:hAnsi="黑体" w:eastAsia="黑体"/>
              <w:b w:val="0"/>
              <w:bCs w:val="0"/>
            </w:rPr>
            <w:fldChar w:fldCharType="end"/>
          </w:r>
        </w:p>
        <w:p>
          <w:pPr>
            <w:pStyle w:val="33"/>
            <w:tabs>
              <w:tab w:val="right" w:leader="dot" w:pos="8306"/>
            </w:tabs>
          </w:pPr>
          <w:r>
            <w:fldChar w:fldCharType="begin"/>
          </w:r>
          <w:r>
            <w:instrText xml:space="preserve"> HYPERLINK \l "_Toc31761" </w:instrText>
          </w:r>
          <w:r>
            <w:fldChar w:fldCharType="separate"/>
          </w:r>
          <w:r>
            <w:rPr>
              <w:rStyle w:val="28"/>
              <w:rFonts w:hint="eastAsia" w:ascii="黑体" w:hAnsi="黑体" w:eastAsia="黑体"/>
              <w:b w:val="0"/>
              <w:bCs w:val="0"/>
            </w:rPr>
            <w:t>第五部分 附表</w:t>
          </w:r>
          <w:r>
            <w:rPr>
              <w:rStyle w:val="28"/>
              <w:rFonts w:hint="eastAsia" w:ascii="黑体" w:hAnsi="黑体" w:eastAsia="黑体"/>
              <w:b w:val="0"/>
              <w:bCs w:val="0"/>
            </w:rPr>
            <w:tab/>
          </w:r>
          <w:r>
            <w:rPr>
              <w:rStyle w:val="28"/>
              <w:rFonts w:hint="eastAsia" w:ascii="黑体" w:hAnsi="黑体" w:eastAsia="黑体"/>
              <w:b w:val="0"/>
              <w:bCs w:val="0"/>
            </w:rPr>
            <w:fldChar w:fldCharType="begin"/>
          </w:r>
          <w:r>
            <w:rPr>
              <w:rStyle w:val="28"/>
              <w:rFonts w:hint="eastAsia" w:ascii="黑体" w:hAnsi="黑体" w:eastAsia="黑体"/>
              <w:b w:val="0"/>
              <w:bCs w:val="0"/>
            </w:rPr>
            <w:instrText xml:space="preserve"> PAGEREF _Toc31761 \h </w:instrText>
          </w:r>
          <w:r>
            <w:rPr>
              <w:rStyle w:val="28"/>
              <w:rFonts w:hint="eastAsia" w:ascii="黑体" w:hAnsi="黑体" w:eastAsia="黑体"/>
              <w:b w:val="0"/>
              <w:bCs w:val="0"/>
            </w:rPr>
            <w:fldChar w:fldCharType="separate"/>
          </w:r>
          <w:r>
            <w:rPr>
              <w:rStyle w:val="28"/>
              <w:rFonts w:hint="eastAsia" w:ascii="黑体" w:hAnsi="黑体" w:eastAsia="黑体"/>
              <w:b w:val="0"/>
              <w:bCs w:val="0"/>
            </w:rPr>
            <w:t>25</w:t>
          </w:r>
          <w:r>
            <w:rPr>
              <w:rStyle w:val="28"/>
              <w:rFonts w:hint="eastAsia" w:ascii="黑体" w:hAnsi="黑体" w:eastAsia="黑体"/>
              <w:b w:val="0"/>
              <w:bCs w:val="0"/>
            </w:rPr>
            <w:fldChar w:fldCharType="end"/>
          </w:r>
          <w:r>
            <w:rPr>
              <w:rStyle w:val="28"/>
              <w:rFonts w:hint="eastAsia" w:ascii="黑体" w:hAnsi="黑体" w:eastAsia="黑体"/>
              <w:b w:val="0"/>
              <w:bCs w:val="0"/>
            </w:rPr>
            <w:fldChar w:fldCharType="end"/>
          </w:r>
        </w:p>
        <w:p>
          <w:pPr>
            <w:pStyle w:val="34"/>
            <w:tabs>
              <w:tab w:val="right" w:leader="dot" w:pos="8306"/>
            </w:tabs>
            <w:ind w:left="420"/>
            <w:rPr>
              <w:rFonts w:ascii="仿宋_GB2312" w:eastAsia="仿宋_GB2312"/>
              <w:kern w:val="2"/>
              <w:sz w:val="32"/>
              <w:szCs w:val="32"/>
            </w:rPr>
          </w:pPr>
          <w:r>
            <w:fldChar w:fldCharType="begin"/>
          </w:r>
          <w:r>
            <w:instrText xml:space="preserve"> HYPERLINK \l "_Toc14200" </w:instrText>
          </w:r>
          <w:r>
            <w:fldChar w:fldCharType="separate"/>
          </w:r>
          <w:r>
            <w:rPr>
              <w:rFonts w:hint="eastAsia" w:ascii="仿宋_GB2312" w:eastAsia="仿宋_GB2312"/>
              <w:kern w:val="2"/>
              <w:sz w:val="32"/>
              <w:szCs w:val="32"/>
            </w:rPr>
            <w:t>一、收入支出决算总表</w:t>
          </w:r>
          <w:r>
            <w:rPr>
              <w:rFonts w:hint="eastAsia" w:ascii="仿宋_GB2312" w:eastAsia="仿宋_GB2312"/>
              <w:kern w:val="2"/>
              <w:sz w:val="32"/>
              <w:szCs w:val="32"/>
            </w:rPr>
            <w:tab/>
          </w:r>
          <w:r>
            <w:rPr>
              <w:rFonts w:hint="eastAsia" w:ascii="仿宋_GB2312" w:eastAsia="仿宋_GB2312"/>
              <w:kern w:val="2"/>
              <w:sz w:val="32"/>
              <w:szCs w:val="32"/>
            </w:rPr>
            <w:fldChar w:fldCharType="begin"/>
          </w:r>
          <w:r>
            <w:rPr>
              <w:rFonts w:hint="eastAsia" w:ascii="仿宋_GB2312" w:eastAsia="仿宋_GB2312"/>
              <w:kern w:val="2"/>
              <w:sz w:val="32"/>
              <w:szCs w:val="32"/>
            </w:rPr>
            <w:instrText xml:space="preserve"> PAGEREF _Toc14200 \h </w:instrText>
          </w:r>
          <w:r>
            <w:rPr>
              <w:rFonts w:hint="eastAsia" w:ascii="仿宋_GB2312" w:eastAsia="仿宋_GB2312"/>
              <w:kern w:val="2"/>
              <w:sz w:val="32"/>
              <w:szCs w:val="32"/>
            </w:rPr>
            <w:fldChar w:fldCharType="separate"/>
          </w:r>
          <w:r>
            <w:rPr>
              <w:rFonts w:hint="eastAsia" w:ascii="仿宋_GB2312" w:eastAsia="仿宋_GB2312"/>
              <w:kern w:val="2"/>
              <w:sz w:val="32"/>
              <w:szCs w:val="32"/>
            </w:rPr>
            <w:t>25</w:t>
          </w:r>
          <w:r>
            <w:rPr>
              <w:rFonts w:hint="eastAsia" w:ascii="仿宋_GB2312" w:eastAsia="仿宋_GB2312"/>
              <w:kern w:val="2"/>
              <w:sz w:val="32"/>
              <w:szCs w:val="32"/>
            </w:rPr>
            <w:fldChar w:fldCharType="end"/>
          </w:r>
          <w:r>
            <w:rPr>
              <w:rFonts w:hint="eastAsia" w:ascii="仿宋_GB2312" w:eastAsia="仿宋_GB2312"/>
              <w:kern w:val="2"/>
              <w:sz w:val="32"/>
              <w:szCs w:val="32"/>
            </w:rPr>
            <w:fldChar w:fldCharType="end"/>
          </w:r>
        </w:p>
        <w:p>
          <w:pPr>
            <w:pStyle w:val="34"/>
            <w:tabs>
              <w:tab w:val="right" w:leader="dot" w:pos="8306"/>
            </w:tabs>
            <w:ind w:left="420"/>
            <w:rPr>
              <w:rFonts w:ascii="仿宋_GB2312" w:eastAsia="仿宋_GB2312"/>
              <w:kern w:val="2"/>
              <w:sz w:val="32"/>
              <w:szCs w:val="32"/>
            </w:rPr>
          </w:pPr>
          <w:r>
            <w:fldChar w:fldCharType="begin"/>
          </w:r>
          <w:r>
            <w:instrText xml:space="preserve"> HYPERLINK \l "_Toc6833" </w:instrText>
          </w:r>
          <w:r>
            <w:fldChar w:fldCharType="separate"/>
          </w:r>
          <w:r>
            <w:rPr>
              <w:rFonts w:hint="eastAsia" w:ascii="仿宋_GB2312" w:eastAsia="仿宋_GB2312"/>
              <w:kern w:val="2"/>
              <w:sz w:val="32"/>
              <w:szCs w:val="32"/>
            </w:rPr>
            <w:t>二、收入决算表</w:t>
          </w:r>
          <w:r>
            <w:rPr>
              <w:rFonts w:hint="eastAsia" w:ascii="仿宋_GB2312" w:eastAsia="仿宋_GB2312"/>
              <w:kern w:val="2"/>
              <w:sz w:val="32"/>
              <w:szCs w:val="32"/>
            </w:rPr>
            <w:tab/>
          </w:r>
          <w:r>
            <w:rPr>
              <w:rFonts w:hint="eastAsia" w:ascii="仿宋_GB2312" w:eastAsia="仿宋_GB2312"/>
              <w:kern w:val="2"/>
              <w:sz w:val="32"/>
              <w:szCs w:val="32"/>
            </w:rPr>
            <w:fldChar w:fldCharType="begin"/>
          </w:r>
          <w:r>
            <w:rPr>
              <w:rFonts w:hint="eastAsia" w:ascii="仿宋_GB2312" w:eastAsia="仿宋_GB2312"/>
              <w:kern w:val="2"/>
              <w:sz w:val="32"/>
              <w:szCs w:val="32"/>
            </w:rPr>
            <w:instrText xml:space="preserve"> PAGEREF _Toc6833 \h </w:instrText>
          </w:r>
          <w:r>
            <w:rPr>
              <w:rFonts w:hint="eastAsia" w:ascii="仿宋_GB2312" w:eastAsia="仿宋_GB2312"/>
              <w:kern w:val="2"/>
              <w:sz w:val="32"/>
              <w:szCs w:val="32"/>
            </w:rPr>
            <w:fldChar w:fldCharType="separate"/>
          </w:r>
          <w:r>
            <w:rPr>
              <w:rFonts w:hint="eastAsia" w:ascii="仿宋_GB2312" w:eastAsia="仿宋_GB2312"/>
              <w:kern w:val="2"/>
              <w:sz w:val="32"/>
              <w:szCs w:val="32"/>
            </w:rPr>
            <w:t>25</w:t>
          </w:r>
          <w:r>
            <w:rPr>
              <w:rFonts w:hint="eastAsia" w:ascii="仿宋_GB2312" w:eastAsia="仿宋_GB2312"/>
              <w:kern w:val="2"/>
              <w:sz w:val="32"/>
              <w:szCs w:val="32"/>
            </w:rPr>
            <w:fldChar w:fldCharType="end"/>
          </w:r>
          <w:r>
            <w:rPr>
              <w:rFonts w:hint="eastAsia" w:ascii="仿宋_GB2312" w:eastAsia="仿宋_GB2312"/>
              <w:kern w:val="2"/>
              <w:sz w:val="32"/>
              <w:szCs w:val="32"/>
            </w:rPr>
            <w:fldChar w:fldCharType="end"/>
          </w:r>
        </w:p>
        <w:p>
          <w:pPr>
            <w:pStyle w:val="34"/>
            <w:tabs>
              <w:tab w:val="right" w:leader="dot" w:pos="8306"/>
            </w:tabs>
            <w:ind w:left="420"/>
            <w:rPr>
              <w:rFonts w:ascii="仿宋_GB2312" w:eastAsia="仿宋_GB2312"/>
              <w:kern w:val="2"/>
              <w:sz w:val="32"/>
              <w:szCs w:val="32"/>
            </w:rPr>
          </w:pPr>
          <w:r>
            <w:fldChar w:fldCharType="begin"/>
          </w:r>
          <w:r>
            <w:instrText xml:space="preserve"> HYPERLINK \l "_Toc18096" </w:instrText>
          </w:r>
          <w:r>
            <w:fldChar w:fldCharType="separate"/>
          </w:r>
          <w:r>
            <w:rPr>
              <w:rFonts w:hint="eastAsia" w:ascii="仿宋_GB2312" w:eastAsia="仿宋_GB2312"/>
              <w:kern w:val="2"/>
              <w:sz w:val="32"/>
              <w:szCs w:val="32"/>
            </w:rPr>
            <w:t>三、支出决算表</w:t>
          </w:r>
          <w:r>
            <w:rPr>
              <w:rFonts w:hint="eastAsia" w:ascii="仿宋_GB2312" w:eastAsia="仿宋_GB2312"/>
              <w:kern w:val="2"/>
              <w:sz w:val="32"/>
              <w:szCs w:val="32"/>
            </w:rPr>
            <w:tab/>
          </w:r>
          <w:r>
            <w:rPr>
              <w:rFonts w:hint="eastAsia" w:ascii="仿宋_GB2312" w:eastAsia="仿宋_GB2312"/>
              <w:kern w:val="2"/>
              <w:sz w:val="32"/>
              <w:szCs w:val="32"/>
            </w:rPr>
            <w:fldChar w:fldCharType="begin"/>
          </w:r>
          <w:r>
            <w:rPr>
              <w:rFonts w:hint="eastAsia" w:ascii="仿宋_GB2312" w:eastAsia="仿宋_GB2312"/>
              <w:kern w:val="2"/>
              <w:sz w:val="32"/>
              <w:szCs w:val="32"/>
            </w:rPr>
            <w:instrText xml:space="preserve"> PAGEREF _Toc18096 \h </w:instrText>
          </w:r>
          <w:r>
            <w:rPr>
              <w:rFonts w:hint="eastAsia" w:ascii="仿宋_GB2312" w:eastAsia="仿宋_GB2312"/>
              <w:kern w:val="2"/>
              <w:sz w:val="32"/>
              <w:szCs w:val="32"/>
            </w:rPr>
            <w:fldChar w:fldCharType="separate"/>
          </w:r>
          <w:r>
            <w:rPr>
              <w:rFonts w:hint="eastAsia" w:ascii="仿宋_GB2312" w:eastAsia="仿宋_GB2312"/>
              <w:kern w:val="2"/>
              <w:sz w:val="32"/>
              <w:szCs w:val="32"/>
            </w:rPr>
            <w:t>25</w:t>
          </w:r>
          <w:r>
            <w:rPr>
              <w:rFonts w:hint="eastAsia" w:ascii="仿宋_GB2312" w:eastAsia="仿宋_GB2312"/>
              <w:kern w:val="2"/>
              <w:sz w:val="32"/>
              <w:szCs w:val="32"/>
            </w:rPr>
            <w:fldChar w:fldCharType="end"/>
          </w:r>
          <w:r>
            <w:rPr>
              <w:rFonts w:hint="eastAsia" w:ascii="仿宋_GB2312" w:eastAsia="仿宋_GB2312"/>
              <w:kern w:val="2"/>
              <w:sz w:val="32"/>
              <w:szCs w:val="32"/>
            </w:rPr>
            <w:fldChar w:fldCharType="end"/>
          </w:r>
        </w:p>
        <w:p>
          <w:pPr>
            <w:pStyle w:val="34"/>
            <w:tabs>
              <w:tab w:val="right" w:leader="dot" w:pos="8306"/>
            </w:tabs>
            <w:ind w:left="420"/>
            <w:rPr>
              <w:rFonts w:ascii="仿宋_GB2312" w:eastAsia="仿宋_GB2312"/>
              <w:kern w:val="2"/>
              <w:sz w:val="32"/>
              <w:szCs w:val="32"/>
            </w:rPr>
          </w:pPr>
          <w:r>
            <w:fldChar w:fldCharType="begin"/>
          </w:r>
          <w:r>
            <w:instrText xml:space="preserve"> HYPERLINK \l "_Toc16357" </w:instrText>
          </w:r>
          <w:r>
            <w:fldChar w:fldCharType="separate"/>
          </w:r>
          <w:r>
            <w:rPr>
              <w:rFonts w:hint="eastAsia" w:ascii="仿宋_GB2312" w:eastAsia="仿宋_GB2312"/>
              <w:kern w:val="2"/>
              <w:sz w:val="32"/>
              <w:szCs w:val="32"/>
            </w:rPr>
            <w:t>四、财政拨款收入支出决算总表</w:t>
          </w:r>
          <w:r>
            <w:rPr>
              <w:rFonts w:hint="eastAsia" w:ascii="仿宋_GB2312" w:eastAsia="仿宋_GB2312"/>
              <w:kern w:val="2"/>
              <w:sz w:val="32"/>
              <w:szCs w:val="32"/>
            </w:rPr>
            <w:tab/>
          </w:r>
          <w:r>
            <w:rPr>
              <w:rFonts w:hint="eastAsia" w:ascii="仿宋_GB2312" w:eastAsia="仿宋_GB2312"/>
              <w:kern w:val="2"/>
              <w:sz w:val="32"/>
              <w:szCs w:val="32"/>
            </w:rPr>
            <w:fldChar w:fldCharType="begin"/>
          </w:r>
          <w:r>
            <w:rPr>
              <w:rFonts w:hint="eastAsia" w:ascii="仿宋_GB2312" w:eastAsia="仿宋_GB2312"/>
              <w:kern w:val="2"/>
              <w:sz w:val="32"/>
              <w:szCs w:val="32"/>
            </w:rPr>
            <w:instrText xml:space="preserve"> PAGEREF _Toc16357 \h </w:instrText>
          </w:r>
          <w:r>
            <w:rPr>
              <w:rFonts w:hint="eastAsia" w:ascii="仿宋_GB2312" w:eastAsia="仿宋_GB2312"/>
              <w:kern w:val="2"/>
              <w:sz w:val="32"/>
              <w:szCs w:val="32"/>
            </w:rPr>
            <w:fldChar w:fldCharType="separate"/>
          </w:r>
          <w:r>
            <w:rPr>
              <w:rFonts w:hint="eastAsia" w:ascii="仿宋_GB2312" w:eastAsia="仿宋_GB2312"/>
              <w:kern w:val="2"/>
              <w:sz w:val="32"/>
              <w:szCs w:val="32"/>
            </w:rPr>
            <w:t>25</w:t>
          </w:r>
          <w:r>
            <w:rPr>
              <w:rFonts w:hint="eastAsia" w:ascii="仿宋_GB2312" w:eastAsia="仿宋_GB2312"/>
              <w:kern w:val="2"/>
              <w:sz w:val="32"/>
              <w:szCs w:val="32"/>
            </w:rPr>
            <w:fldChar w:fldCharType="end"/>
          </w:r>
          <w:r>
            <w:rPr>
              <w:rFonts w:hint="eastAsia" w:ascii="仿宋_GB2312" w:eastAsia="仿宋_GB2312"/>
              <w:kern w:val="2"/>
              <w:sz w:val="32"/>
              <w:szCs w:val="32"/>
            </w:rPr>
            <w:fldChar w:fldCharType="end"/>
          </w:r>
        </w:p>
        <w:p>
          <w:pPr>
            <w:pStyle w:val="34"/>
            <w:tabs>
              <w:tab w:val="right" w:leader="dot" w:pos="8306"/>
            </w:tabs>
            <w:ind w:left="420"/>
            <w:rPr>
              <w:rFonts w:ascii="仿宋_GB2312" w:eastAsia="仿宋_GB2312"/>
              <w:kern w:val="2"/>
              <w:sz w:val="32"/>
              <w:szCs w:val="32"/>
            </w:rPr>
          </w:pPr>
          <w:r>
            <w:fldChar w:fldCharType="begin"/>
          </w:r>
          <w:r>
            <w:instrText xml:space="preserve"> HYPERLINK \l "_Toc8733" </w:instrText>
          </w:r>
          <w:r>
            <w:fldChar w:fldCharType="separate"/>
          </w:r>
          <w:r>
            <w:rPr>
              <w:rFonts w:hint="eastAsia" w:ascii="仿宋_GB2312" w:eastAsia="仿宋_GB2312"/>
              <w:kern w:val="2"/>
              <w:sz w:val="32"/>
              <w:szCs w:val="32"/>
            </w:rPr>
            <w:t>五、财政拨款支出决算明细表</w:t>
          </w:r>
          <w:r>
            <w:rPr>
              <w:rFonts w:hint="eastAsia" w:ascii="仿宋_GB2312" w:eastAsia="仿宋_GB2312"/>
              <w:kern w:val="2"/>
              <w:sz w:val="32"/>
              <w:szCs w:val="32"/>
            </w:rPr>
            <w:tab/>
          </w:r>
          <w:r>
            <w:rPr>
              <w:rFonts w:hint="eastAsia" w:ascii="仿宋_GB2312" w:eastAsia="仿宋_GB2312"/>
              <w:kern w:val="2"/>
              <w:sz w:val="32"/>
              <w:szCs w:val="32"/>
            </w:rPr>
            <w:fldChar w:fldCharType="begin"/>
          </w:r>
          <w:r>
            <w:rPr>
              <w:rFonts w:hint="eastAsia" w:ascii="仿宋_GB2312" w:eastAsia="仿宋_GB2312"/>
              <w:kern w:val="2"/>
              <w:sz w:val="32"/>
              <w:szCs w:val="32"/>
            </w:rPr>
            <w:instrText xml:space="preserve"> PAGEREF _Toc8733 \h </w:instrText>
          </w:r>
          <w:r>
            <w:rPr>
              <w:rFonts w:hint="eastAsia" w:ascii="仿宋_GB2312" w:eastAsia="仿宋_GB2312"/>
              <w:kern w:val="2"/>
              <w:sz w:val="32"/>
              <w:szCs w:val="32"/>
            </w:rPr>
            <w:fldChar w:fldCharType="separate"/>
          </w:r>
          <w:r>
            <w:rPr>
              <w:rFonts w:hint="eastAsia" w:ascii="仿宋_GB2312" w:eastAsia="仿宋_GB2312"/>
              <w:kern w:val="2"/>
              <w:sz w:val="32"/>
              <w:szCs w:val="32"/>
            </w:rPr>
            <w:t>25</w:t>
          </w:r>
          <w:r>
            <w:rPr>
              <w:rFonts w:hint="eastAsia" w:ascii="仿宋_GB2312" w:eastAsia="仿宋_GB2312"/>
              <w:kern w:val="2"/>
              <w:sz w:val="32"/>
              <w:szCs w:val="32"/>
            </w:rPr>
            <w:fldChar w:fldCharType="end"/>
          </w:r>
          <w:r>
            <w:rPr>
              <w:rFonts w:hint="eastAsia" w:ascii="仿宋_GB2312" w:eastAsia="仿宋_GB2312"/>
              <w:kern w:val="2"/>
              <w:sz w:val="32"/>
              <w:szCs w:val="32"/>
            </w:rPr>
            <w:fldChar w:fldCharType="end"/>
          </w:r>
        </w:p>
        <w:p>
          <w:pPr>
            <w:pStyle w:val="34"/>
            <w:tabs>
              <w:tab w:val="right" w:leader="dot" w:pos="8306"/>
            </w:tabs>
            <w:ind w:left="420"/>
            <w:rPr>
              <w:rFonts w:ascii="仿宋_GB2312" w:eastAsia="仿宋_GB2312"/>
              <w:kern w:val="2"/>
              <w:sz w:val="32"/>
              <w:szCs w:val="32"/>
            </w:rPr>
          </w:pPr>
          <w:r>
            <w:fldChar w:fldCharType="begin"/>
          </w:r>
          <w:r>
            <w:instrText xml:space="preserve"> HYPERLINK \l "_Toc412" </w:instrText>
          </w:r>
          <w:r>
            <w:fldChar w:fldCharType="separate"/>
          </w:r>
          <w:r>
            <w:rPr>
              <w:rFonts w:hint="eastAsia" w:ascii="仿宋_GB2312" w:eastAsia="仿宋_GB2312"/>
              <w:kern w:val="2"/>
              <w:sz w:val="32"/>
              <w:szCs w:val="32"/>
            </w:rPr>
            <w:t>六、一般公共预算财政拨款支出决算表</w:t>
          </w:r>
          <w:r>
            <w:rPr>
              <w:rFonts w:hint="eastAsia" w:ascii="仿宋_GB2312" w:eastAsia="仿宋_GB2312"/>
              <w:kern w:val="2"/>
              <w:sz w:val="32"/>
              <w:szCs w:val="32"/>
            </w:rPr>
            <w:tab/>
          </w:r>
          <w:r>
            <w:rPr>
              <w:rFonts w:hint="eastAsia" w:ascii="仿宋_GB2312" w:eastAsia="仿宋_GB2312"/>
              <w:kern w:val="2"/>
              <w:sz w:val="32"/>
              <w:szCs w:val="32"/>
            </w:rPr>
            <w:fldChar w:fldCharType="begin"/>
          </w:r>
          <w:r>
            <w:rPr>
              <w:rFonts w:hint="eastAsia" w:ascii="仿宋_GB2312" w:eastAsia="仿宋_GB2312"/>
              <w:kern w:val="2"/>
              <w:sz w:val="32"/>
              <w:szCs w:val="32"/>
            </w:rPr>
            <w:instrText xml:space="preserve"> PAGEREF _Toc412 \h </w:instrText>
          </w:r>
          <w:r>
            <w:rPr>
              <w:rFonts w:hint="eastAsia" w:ascii="仿宋_GB2312" w:eastAsia="仿宋_GB2312"/>
              <w:kern w:val="2"/>
              <w:sz w:val="32"/>
              <w:szCs w:val="32"/>
            </w:rPr>
            <w:fldChar w:fldCharType="separate"/>
          </w:r>
          <w:r>
            <w:rPr>
              <w:rFonts w:hint="eastAsia" w:ascii="仿宋_GB2312" w:eastAsia="仿宋_GB2312"/>
              <w:kern w:val="2"/>
              <w:sz w:val="32"/>
              <w:szCs w:val="32"/>
            </w:rPr>
            <w:t>25</w:t>
          </w:r>
          <w:r>
            <w:rPr>
              <w:rFonts w:hint="eastAsia" w:ascii="仿宋_GB2312" w:eastAsia="仿宋_GB2312"/>
              <w:kern w:val="2"/>
              <w:sz w:val="32"/>
              <w:szCs w:val="32"/>
            </w:rPr>
            <w:fldChar w:fldCharType="end"/>
          </w:r>
          <w:r>
            <w:rPr>
              <w:rFonts w:hint="eastAsia" w:ascii="仿宋_GB2312" w:eastAsia="仿宋_GB2312"/>
              <w:kern w:val="2"/>
              <w:sz w:val="32"/>
              <w:szCs w:val="32"/>
            </w:rPr>
            <w:fldChar w:fldCharType="end"/>
          </w:r>
        </w:p>
        <w:p>
          <w:pPr>
            <w:pStyle w:val="34"/>
            <w:tabs>
              <w:tab w:val="right" w:leader="dot" w:pos="8306"/>
            </w:tabs>
            <w:ind w:left="420"/>
            <w:rPr>
              <w:rFonts w:ascii="仿宋_GB2312" w:eastAsia="仿宋_GB2312"/>
              <w:kern w:val="2"/>
              <w:sz w:val="32"/>
              <w:szCs w:val="32"/>
            </w:rPr>
          </w:pPr>
          <w:r>
            <w:fldChar w:fldCharType="begin"/>
          </w:r>
          <w:r>
            <w:instrText xml:space="preserve"> HYPERLINK \l "_Toc16792" </w:instrText>
          </w:r>
          <w:r>
            <w:fldChar w:fldCharType="separate"/>
          </w:r>
          <w:r>
            <w:rPr>
              <w:rFonts w:hint="eastAsia" w:ascii="仿宋_GB2312" w:eastAsia="仿宋_GB2312"/>
              <w:kern w:val="2"/>
              <w:sz w:val="32"/>
              <w:szCs w:val="32"/>
            </w:rPr>
            <w:t>七、一般公共预算财政拨款支出决算明细表</w:t>
          </w:r>
          <w:r>
            <w:rPr>
              <w:rFonts w:hint="eastAsia" w:ascii="仿宋_GB2312" w:eastAsia="仿宋_GB2312"/>
              <w:kern w:val="2"/>
              <w:sz w:val="32"/>
              <w:szCs w:val="32"/>
            </w:rPr>
            <w:tab/>
          </w:r>
          <w:r>
            <w:rPr>
              <w:rFonts w:hint="eastAsia" w:ascii="仿宋_GB2312" w:eastAsia="仿宋_GB2312"/>
              <w:kern w:val="2"/>
              <w:sz w:val="32"/>
              <w:szCs w:val="32"/>
            </w:rPr>
            <w:fldChar w:fldCharType="begin"/>
          </w:r>
          <w:r>
            <w:rPr>
              <w:rFonts w:hint="eastAsia" w:ascii="仿宋_GB2312" w:eastAsia="仿宋_GB2312"/>
              <w:kern w:val="2"/>
              <w:sz w:val="32"/>
              <w:szCs w:val="32"/>
            </w:rPr>
            <w:instrText xml:space="preserve"> PAGEREF _Toc16792 \h </w:instrText>
          </w:r>
          <w:r>
            <w:rPr>
              <w:rFonts w:hint="eastAsia" w:ascii="仿宋_GB2312" w:eastAsia="仿宋_GB2312"/>
              <w:kern w:val="2"/>
              <w:sz w:val="32"/>
              <w:szCs w:val="32"/>
            </w:rPr>
            <w:fldChar w:fldCharType="separate"/>
          </w:r>
          <w:r>
            <w:rPr>
              <w:rFonts w:hint="eastAsia" w:ascii="仿宋_GB2312" w:eastAsia="仿宋_GB2312"/>
              <w:kern w:val="2"/>
              <w:sz w:val="32"/>
              <w:szCs w:val="32"/>
            </w:rPr>
            <w:t>25</w:t>
          </w:r>
          <w:r>
            <w:rPr>
              <w:rFonts w:hint="eastAsia" w:ascii="仿宋_GB2312" w:eastAsia="仿宋_GB2312"/>
              <w:kern w:val="2"/>
              <w:sz w:val="32"/>
              <w:szCs w:val="32"/>
            </w:rPr>
            <w:fldChar w:fldCharType="end"/>
          </w:r>
          <w:r>
            <w:rPr>
              <w:rFonts w:hint="eastAsia" w:ascii="仿宋_GB2312" w:eastAsia="仿宋_GB2312"/>
              <w:kern w:val="2"/>
              <w:sz w:val="32"/>
              <w:szCs w:val="32"/>
            </w:rPr>
            <w:fldChar w:fldCharType="end"/>
          </w:r>
        </w:p>
        <w:p>
          <w:pPr>
            <w:pStyle w:val="34"/>
            <w:tabs>
              <w:tab w:val="right" w:leader="dot" w:pos="8306"/>
            </w:tabs>
            <w:ind w:left="420"/>
            <w:rPr>
              <w:rFonts w:ascii="仿宋_GB2312" w:eastAsia="仿宋_GB2312"/>
              <w:kern w:val="2"/>
              <w:sz w:val="32"/>
              <w:szCs w:val="32"/>
            </w:rPr>
          </w:pPr>
          <w:r>
            <w:fldChar w:fldCharType="begin"/>
          </w:r>
          <w:r>
            <w:instrText xml:space="preserve"> HYPERLINK \l "_Toc21353" </w:instrText>
          </w:r>
          <w:r>
            <w:fldChar w:fldCharType="separate"/>
          </w:r>
          <w:r>
            <w:rPr>
              <w:rFonts w:hint="eastAsia" w:ascii="仿宋_GB2312" w:eastAsia="仿宋_GB2312"/>
              <w:kern w:val="2"/>
              <w:sz w:val="32"/>
              <w:szCs w:val="32"/>
            </w:rPr>
            <w:t>八、一般公共预算财政拨款基本支出决算表</w:t>
          </w:r>
          <w:r>
            <w:rPr>
              <w:rFonts w:hint="eastAsia" w:ascii="仿宋_GB2312" w:eastAsia="仿宋_GB2312"/>
              <w:kern w:val="2"/>
              <w:sz w:val="32"/>
              <w:szCs w:val="32"/>
            </w:rPr>
            <w:tab/>
          </w:r>
          <w:r>
            <w:rPr>
              <w:rFonts w:hint="eastAsia" w:ascii="仿宋_GB2312" w:eastAsia="仿宋_GB2312"/>
              <w:kern w:val="2"/>
              <w:sz w:val="32"/>
              <w:szCs w:val="32"/>
            </w:rPr>
            <w:fldChar w:fldCharType="begin"/>
          </w:r>
          <w:r>
            <w:rPr>
              <w:rFonts w:hint="eastAsia" w:ascii="仿宋_GB2312" w:eastAsia="仿宋_GB2312"/>
              <w:kern w:val="2"/>
              <w:sz w:val="32"/>
              <w:szCs w:val="32"/>
            </w:rPr>
            <w:instrText xml:space="preserve"> PAGEREF _Toc21353 \h </w:instrText>
          </w:r>
          <w:r>
            <w:rPr>
              <w:rFonts w:hint="eastAsia" w:ascii="仿宋_GB2312" w:eastAsia="仿宋_GB2312"/>
              <w:kern w:val="2"/>
              <w:sz w:val="32"/>
              <w:szCs w:val="32"/>
            </w:rPr>
            <w:fldChar w:fldCharType="separate"/>
          </w:r>
          <w:r>
            <w:rPr>
              <w:rFonts w:hint="eastAsia" w:ascii="仿宋_GB2312" w:eastAsia="仿宋_GB2312"/>
              <w:kern w:val="2"/>
              <w:sz w:val="32"/>
              <w:szCs w:val="32"/>
            </w:rPr>
            <w:t>25</w:t>
          </w:r>
          <w:r>
            <w:rPr>
              <w:rFonts w:hint="eastAsia" w:ascii="仿宋_GB2312" w:eastAsia="仿宋_GB2312"/>
              <w:kern w:val="2"/>
              <w:sz w:val="32"/>
              <w:szCs w:val="32"/>
            </w:rPr>
            <w:fldChar w:fldCharType="end"/>
          </w:r>
          <w:r>
            <w:rPr>
              <w:rFonts w:hint="eastAsia" w:ascii="仿宋_GB2312" w:eastAsia="仿宋_GB2312"/>
              <w:kern w:val="2"/>
              <w:sz w:val="32"/>
              <w:szCs w:val="32"/>
            </w:rPr>
            <w:fldChar w:fldCharType="end"/>
          </w:r>
        </w:p>
        <w:p>
          <w:pPr>
            <w:pStyle w:val="34"/>
            <w:tabs>
              <w:tab w:val="right" w:leader="dot" w:pos="8306"/>
            </w:tabs>
            <w:ind w:left="420"/>
            <w:rPr>
              <w:rFonts w:ascii="仿宋_GB2312" w:eastAsia="仿宋_GB2312"/>
              <w:kern w:val="2"/>
              <w:sz w:val="32"/>
              <w:szCs w:val="32"/>
            </w:rPr>
          </w:pPr>
          <w:r>
            <w:fldChar w:fldCharType="begin"/>
          </w:r>
          <w:r>
            <w:instrText xml:space="preserve"> HYPERLINK \l "_Toc8476" </w:instrText>
          </w:r>
          <w:r>
            <w:fldChar w:fldCharType="separate"/>
          </w:r>
          <w:r>
            <w:rPr>
              <w:rFonts w:hint="eastAsia" w:ascii="仿宋_GB2312" w:eastAsia="仿宋_GB2312"/>
              <w:kern w:val="2"/>
              <w:sz w:val="32"/>
              <w:szCs w:val="32"/>
            </w:rPr>
            <w:t>九、一般公共预算财政拨款项目支出决算表</w:t>
          </w:r>
          <w:r>
            <w:rPr>
              <w:rFonts w:hint="eastAsia" w:ascii="仿宋_GB2312" w:eastAsia="仿宋_GB2312"/>
              <w:kern w:val="2"/>
              <w:sz w:val="32"/>
              <w:szCs w:val="32"/>
            </w:rPr>
            <w:tab/>
          </w:r>
          <w:r>
            <w:rPr>
              <w:rFonts w:hint="eastAsia" w:ascii="仿宋_GB2312" w:eastAsia="仿宋_GB2312"/>
              <w:kern w:val="2"/>
              <w:sz w:val="32"/>
              <w:szCs w:val="32"/>
            </w:rPr>
            <w:fldChar w:fldCharType="begin"/>
          </w:r>
          <w:r>
            <w:rPr>
              <w:rFonts w:hint="eastAsia" w:ascii="仿宋_GB2312" w:eastAsia="仿宋_GB2312"/>
              <w:kern w:val="2"/>
              <w:sz w:val="32"/>
              <w:szCs w:val="32"/>
            </w:rPr>
            <w:instrText xml:space="preserve"> PAGEREF _Toc8476 \h </w:instrText>
          </w:r>
          <w:r>
            <w:rPr>
              <w:rFonts w:hint="eastAsia" w:ascii="仿宋_GB2312" w:eastAsia="仿宋_GB2312"/>
              <w:kern w:val="2"/>
              <w:sz w:val="32"/>
              <w:szCs w:val="32"/>
            </w:rPr>
            <w:fldChar w:fldCharType="separate"/>
          </w:r>
          <w:r>
            <w:rPr>
              <w:rFonts w:hint="eastAsia" w:ascii="仿宋_GB2312" w:eastAsia="仿宋_GB2312"/>
              <w:kern w:val="2"/>
              <w:sz w:val="32"/>
              <w:szCs w:val="32"/>
            </w:rPr>
            <w:t>25</w:t>
          </w:r>
          <w:r>
            <w:rPr>
              <w:rFonts w:hint="eastAsia" w:ascii="仿宋_GB2312" w:eastAsia="仿宋_GB2312"/>
              <w:kern w:val="2"/>
              <w:sz w:val="32"/>
              <w:szCs w:val="32"/>
            </w:rPr>
            <w:fldChar w:fldCharType="end"/>
          </w:r>
          <w:r>
            <w:rPr>
              <w:rFonts w:hint="eastAsia" w:ascii="仿宋_GB2312" w:eastAsia="仿宋_GB2312"/>
              <w:kern w:val="2"/>
              <w:sz w:val="32"/>
              <w:szCs w:val="32"/>
            </w:rPr>
            <w:fldChar w:fldCharType="end"/>
          </w:r>
        </w:p>
        <w:p>
          <w:pPr>
            <w:pStyle w:val="34"/>
            <w:tabs>
              <w:tab w:val="right" w:leader="dot" w:pos="8306"/>
            </w:tabs>
            <w:ind w:left="420"/>
            <w:rPr>
              <w:rFonts w:ascii="仿宋_GB2312" w:eastAsia="仿宋_GB2312"/>
              <w:kern w:val="2"/>
              <w:sz w:val="32"/>
              <w:szCs w:val="32"/>
            </w:rPr>
          </w:pPr>
          <w:r>
            <w:fldChar w:fldCharType="begin"/>
          </w:r>
          <w:r>
            <w:instrText xml:space="preserve"> HYPERLINK \l "_Toc1344" </w:instrText>
          </w:r>
          <w:r>
            <w:fldChar w:fldCharType="separate"/>
          </w:r>
          <w:r>
            <w:rPr>
              <w:rFonts w:hint="eastAsia" w:ascii="仿宋_GB2312" w:eastAsia="仿宋_GB2312"/>
              <w:kern w:val="2"/>
              <w:sz w:val="32"/>
              <w:szCs w:val="32"/>
            </w:rPr>
            <w:t>十、政府性基金预算财政拨款收入支出决算表</w:t>
          </w:r>
          <w:r>
            <w:rPr>
              <w:rFonts w:hint="eastAsia" w:ascii="仿宋_GB2312" w:eastAsia="仿宋_GB2312"/>
              <w:kern w:val="2"/>
              <w:sz w:val="32"/>
              <w:szCs w:val="32"/>
            </w:rPr>
            <w:tab/>
          </w:r>
          <w:r>
            <w:rPr>
              <w:rFonts w:hint="eastAsia" w:ascii="仿宋_GB2312" w:eastAsia="仿宋_GB2312"/>
              <w:kern w:val="2"/>
              <w:sz w:val="32"/>
              <w:szCs w:val="32"/>
            </w:rPr>
            <w:fldChar w:fldCharType="begin"/>
          </w:r>
          <w:r>
            <w:rPr>
              <w:rFonts w:hint="eastAsia" w:ascii="仿宋_GB2312" w:eastAsia="仿宋_GB2312"/>
              <w:kern w:val="2"/>
              <w:sz w:val="32"/>
              <w:szCs w:val="32"/>
            </w:rPr>
            <w:instrText xml:space="preserve"> PAGEREF _Toc1344 \h </w:instrText>
          </w:r>
          <w:r>
            <w:rPr>
              <w:rFonts w:hint="eastAsia" w:ascii="仿宋_GB2312" w:eastAsia="仿宋_GB2312"/>
              <w:kern w:val="2"/>
              <w:sz w:val="32"/>
              <w:szCs w:val="32"/>
            </w:rPr>
            <w:fldChar w:fldCharType="separate"/>
          </w:r>
          <w:r>
            <w:rPr>
              <w:rFonts w:hint="eastAsia" w:ascii="仿宋_GB2312" w:eastAsia="仿宋_GB2312"/>
              <w:kern w:val="2"/>
              <w:sz w:val="32"/>
              <w:szCs w:val="32"/>
            </w:rPr>
            <w:t>25</w:t>
          </w:r>
          <w:r>
            <w:rPr>
              <w:rFonts w:hint="eastAsia" w:ascii="仿宋_GB2312" w:eastAsia="仿宋_GB2312"/>
              <w:kern w:val="2"/>
              <w:sz w:val="32"/>
              <w:szCs w:val="32"/>
            </w:rPr>
            <w:fldChar w:fldCharType="end"/>
          </w:r>
          <w:r>
            <w:rPr>
              <w:rFonts w:hint="eastAsia" w:ascii="仿宋_GB2312" w:eastAsia="仿宋_GB2312"/>
              <w:kern w:val="2"/>
              <w:sz w:val="32"/>
              <w:szCs w:val="32"/>
            </w:rPr>
            <w:fldChar w:fldCharType="end"/>
          </w:r>
        </w:p>
        <w:p>
          <w:pPr>
            <w:pStyle w:val="34"/>
            <w:tabs>
              <w:tab w:val="right" w:leader="dot" w:pos="8306"/>
            </w:tabs>
            <w:ind w:left="420"/>
            <w:rPr>
              <w:rFonts w:ascii="仿宋_GB2312" w:eastAsia="仿宋_GB2312"/>
              <w:kern w:val="2"/>
              <w:sz w:val="32"/>
              <w:szCs w:val="32"/>
            </w:rPr>
          </w:pPr>
          <w:r>
            <w:fldChar w:fldCharType="begin"/>
          </w:r>
          <w:r>
            <w:instrText xml:space="preserve"> HYPERLINK \l "_Toc11529" </w:instrText>
          </w:r>
          <w:r>
            <w:fldChar w:fldCharType="separate"/>
          </w:r>
          <w:r>
            <w:rPr>
              <w:rFonts w:hint="eastAsia" w:ascii="仿宋_GB2312" w:eastAsia="仿宋_GB2312"/>
              <w:kern w:val="2"/>
              <w:sz w:val="32"/>
              <w:szCs w:val="32"/>
            </w:rPr>
            <w:t>十一、国有资本经营预算财政拨款收入支出决算表</w:t>
          </w:r>
          <w:r>
            <w:rPr>
              <w:rFonts w:hint="eastAsia" w:ascii="仿宋_GB2312" w:eastAsia="仿宋_GB2312"/>
              <w:kern w:val="2"/>
              <w:sz w:val="32"/>
              <w:szCs w:val="32"/>
            </w:rPr>
            <w:tab/>
          </w:r>
          <w:r>
            <w:rPr>
              <w:rFonts w:hint="eastAsia" w:ascii="仿宋_GB2312" w:eastAsia="仿宋_GB2312"/>
              <w:kern w:val="2"/>
              <w:sz w:val="32"/>
              <w:szCs w:val="32"/>
            </w:rPr>
            <w:fldChar w:fldCharType="begin"/>
          </w:r>
          <w:r>
            <w:rPr>
              <w:rFonts w:hint="eastAsia" w:ascii="仿宋_GB2312" w:eastAsia="仿宋_GB2312"/>
              <w:kern w:val="2"/>
              <w:sz w:val="32"/>
              <w:szCs w:val="32"/>
            </w:rPr>
            <w:instrText xml:space="preserve"> PAGEREF _Toc11529 \h </w:instrText>
          </w:r>
          <w:r>
            <w:rPr>
              <w:rFonts w:hint="eastAsia" w:ascii="仿宋_GB2312" w:eastAsia="仿宋_GB2312"/>
              <w:kern w:val="2"/>
              <w:sz w:val="32"/>
              <w:szCs w:val="32"/>
            </w:rPr>
            <w:fldChar w:fldCharType="separate"/>
          </w:r>
          <w:r>
            <w:rPr>
              <w:rFonts w:hint="eastAsia" w:ascii="仿宋_GB2312" w:eastAsia="仿宋_GB2312"/>
              <w:kern w:val="2"/>
              <w:sz w:val="32"/>
              <w:szCs w:val="32"/>
            </w:rPr>
            <w:t>25</w:t>
          </w:r>
          <w:r>
            <w:rPr>
              <w:rFonts w:hint="eastAsia" w:ascii="仿宋_GB2312" w:eastAsia="仿宋_GB2312"/>
              <w:kern w:val="2"/>
              <w:sz w:val="32"/>
              <w:szCs w:val="32"/>
            </w:rPr>
            <w:fldChar w:fldCharType="end"/>
          </w:r>
          <w:r>
            <w:rPr>
              <w:rFonts w:hint="eastAsia" w:ascii="仿宋_GB2312" w:eastAsia="仿宋_GB2312"/>
              <w:kern w:val="2"/>
              <w:sz w:val="32"/>
              <w:szCs w:val="32"/>
            </w:rPr>
            <w:fldChar w:fldCharType="end"/>
          </w:r>
        </w:p>
        <w:p>
          <w:pPr>
            <w:pStyle w:val="34"/>
            <w:tabs>
              <w:tab w:val="right" w:leader="dot" w:pos="8306"/>
            </w:tabs>
            <w:ind w:left="420"/>
            <w:rPr>
              <w:rFonts w:ascii="仿宋_GB2312" w:eastAsia="仿宋_GB2312"/>
              <w:kern w:val="2"/>
              <w:sz w:val="32"/>
              <w:szCs w:val="32"/>
            </w:rPr>
          </w:pPr>
          <w:r>
            <w:fldChar w:fldCharType="begin"/>
          </w:r>
          <w:r>
            <w:instrText xml:space="preserve"> HYPERLINK \l "_Toc17726" </w:instrText>
          </w:r>
          <w:r>
            <w:fldChar w:fldCharType="separate"/>
          </w:r>
          <w:r>
            <w:rPr>
              <w:rFonts w:hint="eastAsia" w:ascii="仿宋_GB2312" w:eastAsia="仿宋_GB2312"/>
              <w:kern w:val="2"/>
              <w:sz w:val="32"/>
              <w:szCs w:val="32"/>
            </w:rPr>
            <w:t>十二、国有资本经营预算财政拨款支出决算表</w:t>
          </w:r>
          <w:r>
            <w:rPr>
              <w:rFonts w:hint="eastAsia" w:ascii="仿宋_GB2312" w:eastAsia="仿宋_GB2312"/>
              <w:kern w:val="2"/>
              <w:sz w:val="32"/>
              <w:szCs w:val="32"/>
            </w:rPr>
            <w:tab/>
          </w:r>
          <w:r>
            <w:rPr>
              <w:rFonts w:hint="eastAsia" w:ascii="仿宋_GB2312" w:eastAsia="仿宋_GB2312"/>
              <w:kern w:val="2"/>
              <w:sz w:val="32"/>
              <w:szCs w:val="32"/>
            </w:rPr>
            <w:fldChar w:fldCharType="begin"/>
          </w:r>
          <w:r>
            <w:rPr>
              <w:rFonts w:hint="eastAsia" w:ascii="仿宋_GB2312" w:eastAsia="仿宋_GB2312"/>
              <w:kern w:val="2"/>
              <w:sz w:val="32"/>
              <w:szCs w:val="32"/>
            </w:rPr>
            <w:instrText xml:space="preserve"> PAGEREF _Toc17726 \h </w:instrText>
          </w:r>
          <w:r>
            <w:rPr>
              <w:rFonts w:hint="eastAsia" w:ascii="仿宋_GB2312" w:eastAsia="仿宋_GB2312"/>
              <w:kern w:val="2"/>
              <w:sz w:val="32"/>
              <w:szCs w:val="32"/>
            </w:rPr>
            <w:fldChar w:fldCharType="separate"/>
          </w:r>
          <w:r>
            <w:rPr>
              <w:rFonts w:hint="eastAsia" w:ascii="仿宋_GB2312" w:eastAsia="仿宋_GB2312"/>
              <w:kern w:val="2"/>
              <w:sz w:val="32"/>
              <w:szCs w:val="32"/>
            </w:rPr>
            <w:t>25</w:t>
          </w:r>
          <w:r>
            <w:rPr>
              <w:rFonts w:hint="eastAsia" w:ascii="仿宋_GB2312" w:eastAsia="仿宋_GB2312"/>
              <w:kern w:val="2"/>
              <w:sz w:val="32"/>
              <w:szCs w:val="32"/>
            </w:rPr>
            <w:fldChar w:fldCharType="end"/>
          </w:r>
          <w:r>
            <w:rPr>
              <w:rFonts w:hint="eastAsia" w:ascii="仿宋_GB2312" w:eastAsia="仿宋_GB2312"/>
              <w:kern w:val="2"/>
              <w:sz w:val="32"/>
              <w:szCs w:val="32"/>
            </w:rPr>
            <w:fldChar w:fldCharType="end"/>
          </w:r>
        </w:p>
        <w:p>
          <w:pPr>
            <w:pStyle w:val="34"/>
            <w:tabs>
              <w:tab w:val="right" w:leader="dot" w:pos="8306"/>
            </w:tabs>
            <w:ind w:left="420"/>
          </w:pPr>
          <w:r>
            <w:fldChar w:fldCharType="begin"/>
          </w:r>
          <w:r>
            <w:instrText xml:space="preserve"> HYPERLINK \l "_Toc26975" </w:instrText>
          </w:r>
          <w:r>
            <w:fldChar w:fldCharType="separate"/>
          </w:r>
          <w:r>
            <w:rPr>
              <w:rFonts w:hint="eastAsia" w:ascii="仿宋_GB2312" w:eastAsia="仿宋_GB2312"/>
              <w:kern w:val="2"/>
              <w:sz w:val="32"/>
              <w:szCs w:val="32"/>
            </w:rPr>
            <w:t>十三、财政拨款“三公”经费支出决算表</w:t>
          </w:r>
          <w:r>
            <w:rPr>
              <w:rFonts w:hint="eastAsia" w:ascii="仿宋_GB2312" w:eastAsia="仿宋_GB2312"/>
              <w:kern w:val="2"/>
              <w:sz w:val="32"/>
              <w:szCs w:val="32"/>
            </w:rPr>
            <w:tab/>
          </w:r>
          <w:r>
            <w:rPr>
              <w:rFonts w:hint="eastAsia" w:ascii="仿宋_GB2312" w:eastAsia="仿宋_GB2312"/>
              <w:kern w:val="2"/>
              <w:sz w:val="32"/>
              <w:szCs w:val="32"/>
            </w:rPr>
            <w:fldChar w:fldCharType="begin"/>
          </w:r>
          <w:r>
            <w:rPr>
              <w:rFonts w:hint="eastAsia" w:ascii="仿宋_GB2312" w:eastAsia="仿宋_GB2312"/>
              <w:kern w:val="2"/>
              <w:sz w:val="32"/>
              <w:szCs w:val="32"/>
            </w:rPr>
            <w:instrText xml:space="preserve"> PAGEREF _Toc26975 \h </w:instrText>
          </w:r>
          <w:r>
            <w:rPr>
              <w:rFonts w:hint="eastAsia" w:ascii="仿宋_GB2312" w:eastAsia="仿宋_GB2312"/>
              <w:kern w:val="2"/>
              <w:sz w:val="32"/>
              <w:szCs w:val="32"/>
            </w:rPr>
            <w:fldChar w:fldCharType="separate"/>
          </w:r>
          <w:r>
            <w:rPr>
              <w:rFonts w:hint="eastAsia" w:ascii="仿宋_GB2312" w:eastAsia="仿宋_GB2312"/>
              <w:kern w:val="2"/>
              <w:sz w:val="32"/>
              <w:szCs w:val="32"/>
            </w:rPr>
            <w:t>25</w:t>
          </w:r>
          <w:r>
            <w:rPr>
              <w:rFonts w:hint="eastAsia" w:ascii="仿宋_GB2312" w:eastAsia="仿宋_GB2312"/>
              <w:kern w:val="2"/>
              <w:sz w:val="32"/>
              <w:szCs w:val="32"/>
            </w:rPr>
            <w:fldChar w:fldCharType="end"/>
          </w:r>
          <w:r>
            <w:rPr>
              <w:rFonts w:hint="eastAsia" w:ascii="仿宋_GB2312" w:eastAsia="仿宋_GB2312"/>
              <w:kern w:val="2"/>
              <w:sz w:val="32"/>
              <w:szCs w:val="32"/>
            </w:rPr>
            <w:fldChar w:fldCharType="end"/>
          </w:r>
        </w:p>
        <w:p>
          <w:r>
            <w:fldChar w:fldCharType="end"/>
          </w:r>
        </w:p>
      </w:sdtContent>
    </w:sdt>
    <w:p>
      <w:pPr>
        <w:pStyle w:val="3"/>
        <w:jc w:val="center"/>
        <w:rPr>
          <w:rFonts w:ascii="黑体" w:hAnsi="黑体" w:eastAsia="黑体"/>
          <w:b w:val="0"/>
        </w:rPr>
      </w:pPr>
      <w:bookmarkStart w:id="16" w:name="_Toc12058"/>
    </w:p>
    <w:p>
      <w:pPr>
        <w:pStyle w:val="3"/>
        <w:ind w:firstLine="1760" w:firstLineChars="400"/>
        <w:rPr>
          <w:rFonts w:ascii="黑体" w:hAnsi="黑体" w:eastAsia="黑体"/>
          <w:b w:val="0"/>
        </w:rPr>
      </w:pPr>
    </w:p>
    <w:p>
      <w:pPr>
        <w:rPr>
          <w:rFonts w:ascii="黑体" w:hAnsi="黑体" w:eastAsia="黑体"/>
        </w:rPr>
      </w:pPr>
    </w:p>
    <w:p>
      <w:pPr>
        <w:pStyle w:val="7"/>
        <w:spacing w:before="93"/>
        <w:rPr>
          <w:rFonts w:ascii="黑体" w:hAnsi="黑体" w:eastAsia="黑体"/>
        </w:rPr>
      </w:pPr>
    </w:p>
    <w:p>
      <w:pPr>
        <w:pStyle w:val="7"/>
        <w:spacing w:before="93"/>
        <w:rPr>
          <w:rFonts w:ascii="黑体" w:hAnsi="黑体" w:eastAsia="黑体"/>
        </w:rPr>
      </w:pPr>
    </w:p>
    <w:p>
      <w:pPr>
        <w:pStyle w:val="3"/>
        <w:ind w:firstLine="1760" w:firstLineChars="400"/>
        <w:rPr>
          <w:rFonts w:ascii="黑体" w:eastAsia="黑体"/>
          <w:sz w:val="32"/>
          <w:szCs w:val="32"/>
        </w:rPr>
      </w:pPr>
      <w:r>
        <w:rPr>
          <w:rFonts w:hint="eastAsia" w:ascii="黑体" w:hAnsi="黑体" w:eastAsia="黑体"/>
          <w:b w:val="0"/>
        </w:rPr>
        <w:t>第一部分 单位</w:t>
      </w:r>
      <w:r>
        <w:rPr>
          <w:rStyle w:val="27"/>
          <w:rFonts w:hint="eastAsia" w:ascii="黑体" w:hAnsi="黑体" w:eastAsia="黑体"/>
          <w:b w:val="0"/>
          <w:bCs w:val="0"/>
        </w:rPr>
        <w:t>概况</w:t>
      </w:r>
      <w:bookmarkEnd w:id="14"/>
      <w:bookmarkEnd w:id="15"/>
      <w:bookmarkEnd w:id="16"/>
    </w:p>
    <w:p>
      <w:pPr>
        <w:pStyle w:val="4"/>
        <w:numPr>
          <w:ilvl w:val="0"/>
          <w:numId w:val="1"/>
        </w:numPr>
        <w:rPr>
          <w:rStyle w:val="28"/>
          <w:rFonts w:ascii="黑体" w:hAnsi="黑体" w:eastAsia="黑体"/>
          <w:b w:val="0"/>
          <w:bCs w:val="0"/>
        </w:rPr>
      </w:pPr>
      <w:bookmarkStart w:id="17" w:name="_Toc10742"/>
      <w:bookmarkStart w:id="18" w:name="_Toc15396600"/>
      <w:bookmarkStart w:id="19" w:name="_Toc15377197"/>
      <w:r>
        <w:rPr>
          <w:rStyle w:val="28"/>
          <w:rFonts w:hint="eastAsia" w:ascii="黑体" w:hAnsi="黑体" w:eastAsia="黑体"/>
          <w:b w:val="0"/>
          <w:bCs w:val="0"/>
        </w:rPr>
        <w:t>主要职责</w:t>
      </w:r>
      <w:bookmarkEnd w:id="17"/>
    </w:p>
    <w:p>
      <w:pPr>
        <w:pStyle w:val="7"/>
        <w:adjustRightInd w:val="0"/>
        <w:snapToGrid w:val="0"/>
        <w:spacing w:before="93" w:line="600" w:lineRule="exact"/>
        <w:outlineLvl w:val="2"/>
      </w:pPr>
      <w:bookmarkStart w:id="20" w:name="_Toc15378445"/>
      <w:bookmarkStart w:id="21" w:name="_Toc15377198"/>
      <w:bookmarkStart w:id="22" w:name="_Toc31561"/>
      <w:r>
        <w:rPr>
          <w:rFonts w:hint="eastAsia" w:ascii="仿宋" w:hAnsi="仿宋" w:eastAsia="仿宋"/>
          <w:bCs/>
          <w:color w:val="000000"/>
          <w:sz w:val="32"/>
          <w:szCs w:val="32"/>
        </w:rPr>
        <w:t>（一）主要职能。（职能参照省政府批准的三定方案）</w:t>
      </w:r>
      <w:bookmarkEnd w:id="20"/>
      <w:bookmarkEnd w:id="21"/>
      <w:r>
        <w:rPr>
          <w:rFonts w:hint="eastAsia" w:hAnsi="仿宋"/>
          <w:sz w:val="32"/>
          <w:szCs w:val="32"/>
        </w:rPr>
        <w:t>主要承担避难场所日常管护，减灾社区创建事务性工作，协助核查评估灾情，减灾救灾宣传培训、对外交流等工作。</w:t>
      </w:r>
      <w:bookmarkEnd w:id="22"/>
    </w:p>
    <w:p>
      <w:pPr>
        <w:pStyle w:val="4"/>
        <w:rPr>
          <w:rFonts w:ascii="黑体" w:hAnsi="黑体" w:eastAsia="黑体"/>
          <w:b w:val="0"/>
        </w:rPr>
      </w:pPr>
      <w:bookmarkStart w:id="23" w:name="_Toc27656"/>
      <w:r>
        <w:rPr>
          <w:rFonts w:hint="eastAsia" w:ascii="黑体" w:hAnsi="黑体" w:eastAsia="黑体"/>
          <w:b w:val="0"/>
        </w:rPr>
        <w:t>二、机构设置</w:t>
      </w:r>
      <w:bookmarkEnd w:id="18"/>
      <w:bookmarkEnd w:id="19"/>
      <w:bookmarkEnd w:id="23"/>
    </w:p>
    <w:p>
      <w:pPr>
        <w:ind w:firstLine="640" w:firstLineChars="200"/>
        <w:rPr>
          <w:rFonts w:hint="eastAsia" w:ascii="仿宋_GB2312" w:hAnsi="仿宋" w:eastAsia="仿宋_GB2312"/>
          <w:kern w:val="0"/>
          <w:sz w:val="32"/>
          <w:szCs w:val="32"/>
          <w:lang w:val="en-US" w:eastAsia="zh-CN"/>
        </w:rPr>
      </w:pPr>
      <w:r>
        <w:rPr>
          <w:rFonts w:hint="eastAsia" w:ascii="仿宋_GB2312" w:hAnsi="仿宋" w:eastAsia="仿宋_GB2312"/>
          <w:kern w:val="0"/>
          <w:sz w:val="32"/>
          <w:szCs w:val="32"/>
        </w:rPr>
        <w:t>本单位为遂宁市应急管理局（以下简称应急局）</w:t>
      </w:r>
      <w:r>
        <w:rPr>
          <w:rFonts w:hint="eastAsia" w:ascii="仿宋_GB2312" w:hAnsi="仿宋" w:eastAsia="仿宋_GB2312"/>
          <w:color w:val="000000" w:themeColor="text1"/>
          <w:kern w:val="0"/>
          <w:sz w:val="32"/>
          <w:szCs w:val="32"/>
        </w:rPr>
        <w:t>直属公益一类事业单位</w:t>
      </w:r>
      <w:r>
        <w:rPr>
          <w:rFonts w:hint="eastAsia" w:ascii="仿宋_GB2312" w:hAnsi="仿宋" w:eastAsia="仿宋_GB2312"/>
          <w:color w:val="000000" w:themeColor="text1"/>
          <w:kern w:val="0"/>
          <w:sz w:val="32"/>
          <w:szCs w:val="32"/>
          <w:lang w:val="en-US" w:eastAsia="zh-CN"/>
        </w:rPr>
        <w:t>,无独立机构设置。</w:t>
      </w:r>
    </w:p>
    <w:p>
      <w:pPr>
        <w:ind w:firstLine="640" w:firstLineChars="200"/>
        <w:rPr>
          <w:rFonts w:ascii="仿宋_GB2312" w:hAnsi="仿宋" w:eastAsia="仿宋_GB2312"/>
          <w:kern w:val="0"/>
          <w:sz w:val="32"/>
          <w:szCs w:val="32"/>
        </w:rPr>
      </w:pPr>
    </w:p>
    <w:p>
      <w:pPr>
        <w:pStyle w:val="7"/>
        <w:spacing w:before="93"/>
        <w:rPr>
          <w:rFonts w:hAnsi="仿宋"/>
          <w:sz w:val="32"/>
          <w:szCs w:val="32"/>
        </w:rPr>
      </w:pPr>
    </w:p>
    <w:p>
      <w:pPr>
        <w:pStyle w:val="7"/>
        <w:spacing w:before="93"/>
        <w:rPr>
          <w:rFonts w:hAnsi="仿宋"/>
          <w:sz w:val="32"/>
          <w:szCs w:val="32"/>
        </w:rPr>
      </w:pPr>
    </w:p>
    <w:p>
      <w:pPr>
        <w:pStyle w:val="7"/>
        <w:spacing w:before="93"/>
        <w:rPr>
          <w:rFonts w:hAnsi="仿宋"/>
          <w:sz w:val="32"/>
          <w:szCs w:val="32"/>
        </w:rPr>
      </w:pPr>
    </w:p>
    <w:p>
      <w:pPr>
        <w:pStyle w:val="7"/>
        <w:spacing w:before="93"/>
        <w:rPr>
          <w:rFonts w:hAnsi="仿宋"/>
          <w:sz w:val="32"/>
          <w:szCs w:val="32"/>
        </w:rPr>
      </w:pPr>
    </w:p>
    <w:p>
      <w:pPr>
        <w:pStyle w:val="7"/>
        <w:spacing w:before="93"/>
        <w:rPr>
          <w:rFonts w:hAnsi="仿宋"/>
          <w:sz w:val="32"/>
          <w:szCs w:val="32"/>
        </w:rPr>
      </w:pPr>
    </w:p>
    <w:p>
      <w:pPr>
        <w:pStyle w:val="7"/>
        <w:spacing w:before="93"/>
        <w:rPr>
          <w:rFonts w:hAnsi="仿宋"/>
          <w:sz w:val="32"/>
          <w:szCs w:val="32"/>
        </w:rPr>
      </w:pPr>
    </w:p>
    <w:p>
      <w:pPr>
        <w:pStyle w:val="7"/>
        <w:spacing w:before="93"/>
        <w:rPr>
          <w:rFonts w:hAnsi="仿宋"/>
          <w:sz w:val="32"/>
          <w:szCs w:val="32"/>
        </w:rPr>
      </w:pPr>
    </w:p>
    <w:p>
      <w:pPr>
        <w:pStyle w:val="7"/>
        <w:spacing w:before="93"/>
        <w:rPr>
          <w:rFonts w:hAnsi="仿宋"/>
          <w:sz w:val="32"/>
          <w:szCs w:val="32"/>
        </w:rPr>
      </w:pPr>
    </w:p>
    <w:p>
      <w:pPr>
        <w:pStyle w:val="7"/>
        <w:spacing w:before="93"/>
        <w:rPr>
          <w:rFonts w:hAnsi="仿宋"/>
          <w:sz w:val="32"/>
          <w:szCs w:val="32"/>
        </w:rPr>
      </w:pPr>
    </w:p>
    <w:p>
      <w:pPr>
        <w:pStyle w:val="3"/>
        <w:ind w:right="440"/>
        <w:jc w:val="center"/>
      </w:pPr>
      <w:bookmarkStart w:id="24" w:name="_Toc11346"/>
      <w:bookmarkStart w:id="25" w:name="_Toc15396602"/>
      <w:bookmarkStart w:id="26" w:name="_Toc15377204"/>
      <w:r>
        <w:rPr>
          <w:rFonts w:hint="eastAsia" w:ascii="黑体" w:hAnsi="黑体" w:eastAsia="黑体"/>
          <w:b w:val="0"/>
        </w:rPr>
        <w:t>第二部分 2022年度</w:t>
      </w:r>
      <w:r>
        <w:rPr>
          <w:rStyle w:val="27"/>
          <w:rFonts w:hint="eastAsia" w:ascii="黑体" w:hAnsi="黑体" w:eastAsia="黑体"/>
          <w:b w:val="0"/>
          <w:bCs/>
        </w:rPr>
        <w:t>单位决算情况说明</w:t>
      </w:r>
      <w:bookmarkEnd w:id="24"/>
      <w:bookmarkEnd w:id="25"/>
      <w:bookmarkEnd w:id="26"/>
    </w:p>
    <w:p>
      <w:pPr>
        <w:pStyle w:val="26"/>
        <w:numPr>
          <w:ilvl w:val="0"/>
          <w:numId w:val="2"/>
        </w:numPr>
        <w:spacing w:line="600" w:lineRule="exact"/>
        <w:ind w:firstLineChars="0"/>
        <w:outlineLvl w:val="1"/>
        <w:rPr>
          <w:rStyle w:val="28"/>
          <w:rFonts w:ascii="黑体" w:hAnsi="黑体" w:eastAsia="黑体"/>
          <w:b w:val="0"/>
        </w:rPr>
      </w:pPr>
      <w:bookmarkStart w:id="27" w:name="_Toc15377205"/>
      <w:bookmarkStart w:id="28" w:name="_Toc15396603"/>
      <w:bookmarkStart w:id="29" w:name="_Toc12753"/>
      <w:r>
        <w:rPr>
          <w:rFonts w:hint="eastAsia" w:ascii="黑体" w:hAnsi="黑体" w:eastAsia="黑体"/>
          <w:sz w:val="32"/>
          <w:szCs w:val="32"/>
        </w:rPr>
        <w:t>收</w:t>
      </w:r>
      <w:r>
        <w:rPr>
          <w:rStyle w:val="28"/>
          <w:rFonts w:hint="eastAsia" w:ascii="黑体" w:hAnsi="黑体" w:eastAsia="黑体"/>
          <w:b w:val="0"/>
        </w:rPr>
        <w:t>入支出决算总体情况说明</w:t>
      </w:r>
      <w:bookmarkEnd w:id="27"/>
      <w:bookmarkEnd w:id="28"/>
      <w:bookmarkEnd w:id="29"/>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2022年度收、支总计199.15万元。与2021年相比，收、支总计各增加46.43万元，增长30.40</w:t>
      </w:r>
      <w:r>
        <w:rPr>
          <w:rFonts w:ascii="仿宋" w:hAnsi="仿宋" w:eastAsia="仿宋"/>
          <w:sz w:val="32"/>
          <w:szCs w:val="32"/>
        </w:rPr>
        <w:t>%</w:t>
      </w:r>
      <w:r>
        <w:rPr>
          <w:rFonts w:hint="eastAsia" w:ascii="仿宋" w:hAnsi="仿宋" w:eastAsia="仿宋"/>
          <w:sz w:val="32"/>
          <w:szCs w:val="32"/>
        </w:rPr>
        <w:t>。主要变动原因是新增事业人员1名，2022年工资、绩效等待遇于当年发放。</w:t>
      </w:r>
    </w:p>
    <w:p>
      <w:pPr>
        <w:spacing w:line="600" w:lineRule="exact"/>
        <w:ind w:firstLine="640" w:firstLineChars="200"/>
        <w:rPr>
          <w:rFonts w:ascii="仿宋" w:hAnsi="仿宋" w:eastAsia="仿宋"/>
          <w:sz w:val="32"/>
          <w:szCs w:val="32"/>
        </w:rPr>
      </w:pPr>
    </w:p>
    <w:p>
      <w:pPr>
        <w:pStyle w:val="7"/>
        <w:spacing w:before="93"/>
      </w:pPr>
      <w:r>
        <w:rPr>
          <w:rFonts w:hint="eastAsia"/>
        </w:rPr>
        <w:t xml:space="preserve">   </w:t>
      </w:r>
      <w:r>
        <w:drawing>
          <wp:inline distT="0" distB="0" distL="114300" distR="114300">
            <wp:extent cx="3830320" cy="2192020"/>
            <wp:effectExtent l="5080" t="4445" r="12700" b="1333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pStyle w:val="26"/>
        <w:numPr>
          <w:ilvl w:val="0"/>
          <w:numId w:val="2"/>
        </w:numPr>
        <w:spacing w:line="600" w:lineRule="exact"/>
        <w:ind w:firstLineChars="0"/>
        <w:outlineLvl w:val="1"/>
        <w:rPr>
          <w:rStyle w:val="28"/>
          <w:rFonts w:ascii="黑体" w:hAnsi="黑体" w:eastAsia="黑体"/>
          <w:b w:val="0"/>
        </w:rPr>
      </w:pPr>
      <w:bookmarkStart w:id="30" w:name="_Toc15396604"/>
      <w:bookmarkStart w:id="31" w:name="_Toc5231"/>
      <w:bookmarkStart w:id="32" w:name="_Toc15377206"/>
      <w:r>
        <w:rPr>
          <w:rFonts w:hint="eastAsia" w:ascii="黑体" w:hAnsi="黑体" w:eastAsia="黑体"/>
          <w:sz w:val="32"/>
          <w:szCs w:val="32"/>
        </w:rPr>
        <w:t>收</w:t>
      </w:r>
      <w:r>
        <w:rPr>
          <w:rStyle w:val="28"/>
          <w:rFonts w:hint="eastAsia" w:ascii="黑体" w:hAnsi="黑体" w:eastAsia="黑体"/>
          <w:b w:val="0"/>
        </w:rPr>
        <w:t>入决算情况说明</w:t>
      </w:r>
      <w:bookmarkEnd w:id="30"/>
      <w:bookmarkEnd w:id="31"/>
      <w:bookmarkEnd w:id="32"/>
    </w:p>
    <w:p>
      <w:pPr>
        <w:spacing w:line="600" w:lineRule="exact"/>
        <w:ind w:firstLine="640" w:firstLineChars="200"/>
        <w:outlineLvl w:val="1"/>
        <w:rPr>
          <w:rFonts w:ascii="仿宋" w:hAnsi="仿宋" w:eastAsia="仿宋"/>
          <w:sz w:val="32"/>
          <w:szCs w:val="32"/>
        </w:rPr>
      </w:pPr>
      <w:bookmarkStart w:id="33" w:name="_Toc175"/>
      <w:r>
        <w:rPr>
          <w:rFonts w:ascii="仿宋" w:hAnsi="仿宋" w:eastAsia="仿宋"/>
          <w:sz w:val="32"/>
          <w:szCs w:val="32"/>
        </w:rPr>
        <w:t>20</w:t>
      </w:r>
      <w:r>
        <w:rPr>
          <w:rFonts w:hint="eastAsia" w:ascii="仿宋" w:hAnsi="仿宋" w:eastAsia="仿宋"/>
          <w:sz w:val="32"/>
          <w:szCs w:val="32"/>
        </w:rPr>
        <w:t>22年本年收入合计199.15万元，其中：一般公共预算财政拨款收入199.15万元，占100.00</w:t>
      </w:r>
      <w:r>
        <w:rPr>
          <w:rFonts w:ascii="仿宋" w:hAnsi="仿宋" w:eastAsia="仿宋"/>
          <w:sz w:val="32"/>
          <w:szCs w:val="32"/>
        </w:rPr>
        <w:t>%</w:t>
      </w:r>
      <w:r>
        <w:rPr>
          <w:rFonts w:hint="eastAsia" w:ascii="仿宋" w:hAnsi="仿宋" w:eastAsia="仿宋"/>
          <w:sz w:val="32"/>
          <w:szCs w:val="32"/>
        </w:rPr>
        <w:t>；政府性基金预算财政拨款收入0.00万元，占0.00</w:t>
      </w:r>
      <w:r>
        <w:rPr>
          <w:rFonts w:ascii="仿宋" w:hAnsi="仿宋" w:eastAsia="仿宋"/>
          <w:sz w:val="32"/>
          <w:szCs w:val="32"/>
        </w:rPr>
        <w:t>%</w:t>
      </w:r>
      <w:r>
        <w:rPr>
          <w:rFonts w:hint="eastAsia" w:ascii="仿宋" w:hAnsi="仿宋" w:eastAsia="仿宋"/>
          <w:sz w:val="32"/>
          <w:szCs w:val="32"/>
        </w:rPr>
        <w:t>；国有资本经营预算财政拨款收入0.00万元，占0.00</w:t>
      </w:r>
      <w:r>
        <w:rPr>
          <w:rFonts w:ascii="仿宋" w:hAnsi="仿宋" w:eastAsia="仿宋"/>
          <w:sz w:val="32"/>
          <w:szCs w:val="32"/>
        </w:rPr>
        <w:t>%</w:t>
      </w:r>
      <w:r>
        <w:rPr>
          <w:rFonts w:hint="eastAsia" w:ascii="仿宋" w:hAnsi="仿宋" w:eastAsia="仿宋"/>
          <w:sz w:val="32"/>
          <w:szCs w:val="32"/>
        </w:rPr>
        <w:t>；上级补助收入0.00万元，占0.00</w:t>
      </w:r>
      <w:r>
        <w:rPr>
          <w:rFonts w:ascii="仿宋" w:hAnsi="仿宋" w:eastAsia="仿宋"/>
          <w:sz w:val="32"/>
          <w:szCs w:val="32"/>
        </w:rPr>
        <w:t>%</w:t>
      </w:r>
      <w:r>
        <w:rPr>
          <w:rFonts w:hint="eastAsia" w:ascii="仿宋" w:hAnsi="仿宋" w:eastAsia="仿宋"/>
          <w:sz w:val="32"/>
          <w:szCs w:val="32"/>
        </w:rPr>
        <w:t>；事业收入0.00万元，占0.00</w:t>
      </w:r>
      <w:r>
        <w:rPr>
          <w:rFonts w:ascii="仿宋" w:hAnsi="仿宋" w:eastAsia="仿宋"/>
          <w:sz w:val="32"/>
          <w:szCs w:val="32"/>
        </w:rPr>
        <w:t>%</w:t>
      </w:r>
      <w:r>
        <w:rPr>
          <w:rFonts w:hint="eastAsia" w:ascii="仿宋" w:hAnsi="仿宋" w:eastAsia="仿宋"/>
          <w:sz w:val="32"/>
          <w:szCs w:val="32"/>
        </w:rPr>
        <w:t>；经营收入0.00万元，占0.00</w:t>
      </w:r>
      <w:r>
        <w:rPr>
          <w:rFonts w:ascii="仿宋" w:hAnsi="仿宋" w:eastAsia="仿宋"/>
          <w:sz w:val="32"/>
          <w:szCs w:val="32"/>
        </w:rPr>
        <w:t>%</w:t>
      </w:r>
      <w:r>
        <w:rPr>
          <w:rFonts w:hint="eastAsia" w:ascii="仿宋" w:hAnsi="仿宋" w:eastAsia="仿宋"/>
          <w:sz w:val="32"/>
          <w:szCs w:val="32"/>
        </w:rPr>
        <w:t>；附属单位上缴收入0.00万元，占0.00</w:t>
      </w:r>
      <w:r>
        <w:rPr>
          <w:rFonts w:ascii="仿宋" w:hAnsi="仿宋" w:eastAsia="仿宋"/>
          <w:sz w:val="32"/>
          <w:szCs w:val="32"/>
        </w:rPr>
        <w:t>%</w:t>
      </w:r>
      <w:r>
        <w:rPr>
          <w:rFonts w:hint="eastAsia" w:ascii="仿宋" w:hAnsi="仿宋" w:eastAsia="仿宋"/>
          <w:sz w:val="32"/>
          <w:szCs w:val="32"/>
        </w:rPr>
        <w:t>；其他收入0.00万元，占0.00</w:t>
      </w:r>
      <w:r>
        <w:rPr>
          <w:rFonts w:ascii="仿宋" w:hAnsi="仿宋" w:eastAsia="仿宋"/>
          <w:sz w:val="32"/>
          <w:szCs w:val="32"/>
        </w:rPr>
        <w:t>%</w:t>
      </w:r>
      <w:r>
        <w:rPr>
          <w:rFonts w:hint="eastAsia" w:ascii="仿宋" w:hAnsi="仿宋" w:eastAsia="仿宋"/>
          <w:sz w:val="32"/>
          <w:szCs w:val="32"/>
        </w:rPr>
        <w:t>。</w:t>
      </w:r>
      <w:bookmarkEnd w:id="33"/>
    </w:p>
    <w:p>
      <w:pPr>
        <w:pStyle w:val="7"/>
        <w:spacing w:before="93"/>
        <w:rPr>
          <w:rFonts w:ascii="仿宋" w:hAnsi="仿宋" w:eastAsia="仿宋"/>
          <w:b/>
          <w:sz w:val="32"/>
          <w:szCs w:val="32"/>
        </w:rPr>
      </w:pPr>
    </w:p>
    <w:p>
      <w:pPr>
        <w:pStyle w:val="7"/>
        <w:spacing w:before="93"/>
        <w:rPr>
          <w:rFonts w:ascii="仿宋" w:hAnsi="仿宋" w:eastAsia="仿宋"/>
          <w:b/>
          <w:sz w:val="32"/>
          <w:szCs w:val="32"/>
        </w:rPr>
      </w:pPr>
    </w:p>
    <w:p>
      <w:pPr>
        <w:pStyle w:val="7"/>
        <w:spacing w:before="93"/>
        <w:rPr>
          <w:rFonts w:ascii="仿宋" w:hAnsi="仿宋" w:eastAsia="仿宋"/>
          <w:b/>
          <w:sz w:val="32"/>
          <w:szCs w:val="32"/>
        </w:rPr>
      </w:pPr>
    </w:p>
    <w:p>
      <w:pPr>
        <w:pStyle w:val="7"/>
        <w:spacing w:before="93"/>
        <w:rPr>
          <w:rFonts w:ascii="仿宋" w:hAnsi="仿宋" w:eastAsia="仿宋"/>
          <w:b/>
          <w:sz w:val="32"/>
          <w:szCs w:val="32"/>
        </w:rPr>
      </w:pPr>
    </w:p>
    <w:p>
      <w:pPr>
        <w:pStyle w:val="7"/>
        <w:spacing w:before="93"/>
        <w:rPr>
          <w:rFonts w:ascii="仿宋" w:hAnsi="仿宋" w:eastAsia="仿宋"/>
          <w:b/>
          <w:sz w:val="32"/>
          <w:szCs w:val="32"/>
        </w:rPr>
      </w:pPr>
    </w:p>
    <w:p>
      <w:pPr>
        <w:spacing w:line="600" w:lineRule="exact"/>
        <w:ind w:firstLine="420" w:firstLineChars="200"/>
        <w:rPr>
          <w:rFonts w:ascii="仿宋" w:hAnsi="仿宋" w:eastAsia="仿宋"/>
          <w:sz w:val="32"/>
          <w:szCs w:val="32"/>
        </w:rPr>
      </w:pPr>
      <w:r>
        <w:drawing>
          <wp:anchor distT="0" distB="0" distL="114300" distR="114300" simplePos="0" relativeHeight="251659264" behindDoc="0" locked="0" layoutInCell="1" allowOverlap="1">
            <wp:simplePos x="0" y="0"/>
            <wp:positionH relativeFrom="column">
              <wp:posOffset>271145</wp:posOffset>
            </wp:positionH>
            <wp:positionV relativeFrom="paragraph">
              <wp:posOffset>-1919605</wp:posOffset>
            </wp:positionV>
            <wp:extent cx="3744595" cy="2200910"/>
            <wp:effectExtent l="4445" t="4445" r="22860" b="2349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（图2：收入决算结构图）（饼状图）</w:t>
      </w:r>
    </w:p>
    <w:p>
      <w:pPr>
        <w:pStyle w:val="26"/>
        <w:numPr>
          <w:ilvl w:val="0"/>
          <w:numId w:val="2"/>
        </w:numPr>
        <w:spacing w:line="600" w:lineRule="exact"/>
        <w:ind w:firstLineChars="0"/>
        <w:outlineLvl w:val="1"/>
        <w:rPr>
          <w:rStyle w:val="28"/>
          <w:rFonts w:ascii="黑体" w:hAnsi="黑体" w:eastAsia="黑体"/>
          <w:b w:val="0"/>
        </w:rPr>
      </w:pPr>
      <w:bookmarkStart w:id="34" w:name="_Toc15377207"/>
      <w:bookmarkStart w:id="35" w:name="_Toc14904"/>
      <w:bookmarkStart w:id="36" w:name="_Toc15396605"/>
      <w:r>
        <w:rPr>
          <w:rFonts w:hint="eastAsia" w:ascii="黑体" w:hAnsi="黑体" w:eastAsia="黑体"/>
          <w:sz w:val="32"/>
          <w:szCs w:val="32"/>
        </w:rPr>
        <w:t>支</w:t>
      </w:r>
      <w:r>
        <w:rPr>
          <w:rStyle w:val="28"/>
          <w:rFonts w:hint="eastAsia" w:ascii="黑体" w:hAnsi="黑体" w:eastAsia="黑体"/>
          <w:b w:val="0"/>
        </w:rPr>
        <w:t>出决算情况说明</w:t>
      </w:r>
      <w:bookmarkEnd w:id="34"/>
      <w:bookmarkEnd w:id="35"/>
      <w:bookmarkEnd w:id="36"/>
    </w:p>
    <w:p>
      <w:pPr>
        <w:spacing w:line="600" w:lineRule="exact"/>
        <w:ind w:firstLine="640" w:firstLineChars="200"/>
        <w:outlineLvl w:val="1"/>
        <w:rPr>
          <w:rFonts w:ascii="仿宋" w:hAnsi="仿宋" w:eastAsia="仿宋"/>
          <w:sz w:val="32"/>
          <w:szCs w:val="32"/>
        </w:rPr>
      </w:pPr>
      <w:bookmarkStart w:id="37" w:name="_Toc12879"/>
      <w:r>
        <w:rPr>
          <w:rFonts w:ascii="仿宋" w:hAnsi="仿宋" w:eastAsia="仿宋"/>
          <w:sz w:val="32"/>
          <w:szCs w:val="32"/>
        </w:rPr>
        <w:t>20</w:t>
      </w:r>
      <w:r>
        <w:rPr>
          <w:rFonts w:hint="eastAsia" w:ascii="仿宋" w:hAnsi="仿宋" w:eastAsia="仿宋"/>
          <w:sz w:val="32"/>
          <w:szCs w:val="32"/>
        </w:rPr>
        <w:t>22年本年支出合计199.15万元，其中：基本支出194.65万元，占97.74</w:t>
      </w:r>
      <w:r>
        <w:rPr>
          <w:rFonts w:ascii="仿宋" w:hAnsi="仿宋" w:eastAsia="仿宋"/>
          <w:sz w:val="32"/>
          <w:szCs w:val="32"/>
        </w:rPr>
        <w:t>%</w:t>
      </w:r>
      <w:r>
        <w:rPr>
          <w:rFonts w:hint="eastAsia" w:ascii="仿宋" w:hAnsi="仿宋" w:eastAsia="仿宋"/>
          <w:sz w:val="32"/>
          <w:szCs w:val="32"/>
        </w:rPr>
        <w:t>；项目支出4.5万元，占2.26</w:t>
      </w:r>
      <w:r>
        <w:rPr>
          <w:rFonts w:ascii="仿宋" w:hAnsi="仿宋" w:eastAsia="仿宋"/>
          <w:sz w:val="32"/>
          <w:szCs w:val="32"/>
        </w:rPr>
        <w:t>%</w:t>
      </w:r>
      <w:r>
        <w:rPr>
          <w:rFonts w:hint="eastAsia" w:ascii="仿宋" w:hAnsi="仿宋" w:eastAsia="仿宋"/>
          <w:sz w:val="32"/>
          <w:szCs w:val="32"/>
        </w:rPr>
        <w:t>；上缴上级支出0.00万元，占0.00</w:t>
      </w:r>
      <w:r>
        <w:rPr>
          <w:rFonts w:ascii="仿宋" w:hAnsi="仿宋" w:eastAsia="仿宋"/>
          <w:sz w:val="32"/>
          <w:szCs w:val="32"/>
        </w:rPr>
        <w:t>%</w:t>
      </w:r>
      <w:r>
        <w:rPr>
          <w:rFonts w:hint="eastAsia" w:ascii="仿宋" w:hAnsi="仿宋" w:eastAsia="仿宋"/>
          <w:sz w:val="32"/>
          <w:szCs w:val="32"/>
        </w:rPr>
        <w:t>；经营支出0.00万元，占0.00</w:t>
      </w:r>
      <w:r>
        <w:rPr>
          <w:rFonts w:ascii="仿宋" w:hAnsi="仿宋" w:eastAsia="仿宋"/>
          <w:sz w:val="32"/>
          <w:szCs w:val="32"/>
        </w:rPr>
        <w:t>%</w:t>
      </w:r>
      <w:r>
        <w:rPr>
          <w:rFonts w:hint="eastAsia" w:ascii="仿宋" w:hAnsi="仿宋" w:eastAsia="仿宋"/>
          <w:sz w:val="32"/>
          <w:szCs w:val="32"/>
        </w:rPr>
        <w:t>；对附属单位补助支出0.00万元，占0.00</w:t>
      </w:r>
      <w:r>
        <w:rPr>
          <w:rFonts w:ascii="仿宋" w:hAnsi="仿宋" w:eastAsia="仿宋"/>
          <w:sz w:val="32"/>
          <w:szCs w:val="32"/>
        </w:rPr>
        <w:t>%</w:t>
      </w:r>
      <w:r>
        <w:rPr>
          <w:rFonts w:hint="eastAsia" w:ascii="仿宋" w:hAnsi="仿宋" w:eastAsia="仿宋"/>
          <w:sz w:val="32"/>
          <w:szCs w:val="32"/>
        </w:rPr>
        <w:t>。</w:t>
      </w:r>
      <w:bookmarkEnd w:id="37"/>
    </w:p>
    <w:p>
      <w:pPr>
        <w:pStyle w:val="7"/>
        <w:spacing w:before="93"/>
        <w:rPr>
          <w:rFonts w:ascii="仿宋" w:hAnsi="仿宋" w:eastAsia="仿宋"/>
          <w:sz w:val="32"/>
          <w:szCs w:val="32"/>
          <w:shd w:val="pct10" w:color="auto" w:fill="FFFFFF"/>
        </w:rPr>
      </w:pPr>
      <w:r>
        <w:rPr>
          <w:rFonts w:hint="eastAsia"/>
        </w:rPr>
        <w:t xml:space="preserve">      </w:t>
      </w:r>
      <w:r>
        <w:drawing>
          <wp:inline distT="0" distB="0" distL="114300" distR="114300">
            <wp:extent cx="3630295" cy="2277110"/>
            <wp:effectExtent l="4445" t="4445" r="22860" b="23495"/>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（图3：支出决算结构图）（饼状图）</w:t>
      </w:r>
    </w:p>
    <w:p>
      <w:pPr>
        <w:spacing w:line="600" w:lineRule="exact"/>
        <w:ind w:firstLine="640" w:firstLineChars="200"/>
        <w:outlineLvl w:val="1"/>
        <w:rPr>
          <w:rStyle w:val="28"/>
          <w:rFonts w:ascii="黑体" w:hAnsi="黑体" w:eastAsia="黑体"/>
          <w:b w:val="0"/>
        </w:rPr>
      </w:pPr>
      <w:bookmarkStart w:id="38" w:name="_Toc15396606"/>
      <w:bookmarkStart w:id="39" w:name="_Toc2908"/>
      <w:bookmarkStart w:id="40" w:name="_Toc15377208"/>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38"/>
      <w:bookmarkEnd w:id="39"/>
      <w:bookmarkEnd w:id="40"/>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22年财政拨款收、支总计199.15万元。与</w:t>
      </w:r>
      <w:r>
        <w:rPr>
          <w:rFonts w:ascii="仿宋" w:hAnsi="仿宋" w:eastAsia="仿宋"/>
          <w:sz w:val="32"/>
          <w:szCs w:val="32"/>
        </w:rPr>
        <w:t>20</w:t>
      </w:r>
      <w:r>
        <w:rPr>
          <w:rFonts w:hint="eastAsia" w:ascii="仿宋" w:hAnsi="仿宋" w:eastAsia="仿宋"/>
          <w:sz w:val="32"/>
          <w:szCs w:val="32"/>
        </w:rPr>
        <w:t>21年相比，财政拨款收、支总计各增加46.43万元，增长30.40</w:t>
      </w:r>
      <w:r>
        <w:rPr>
          <w:rFonts w:ascii="仿宋" w:hAnsi="仿宋" w:eastAsia="仿宋"/>
          <w:sz w:val="32"/>
          <w:szCs w:val="32"/>
        </w:rPr>
        <w:t>%</w:t>
      </w:r>
      <w:r>
        <w:rPr>
          <w:rFonts w:hint="eastAsia" w:ascii="仿宋" w:hAnsi="仿宋" w:eastAsia="仿宋"/>
          <w:sz w:val="32"/>
          <w:szCs w:val="32"/>
        </w:rPr>
        <w:t>。主要变动原因是新增事业人员1名，2022年工资、绩效等待遇于当年发放。其中，基本工资增加6.67万元，绩效工资增加2.99万元，卫生健康支出增加0.31万元，住房公积金增加1.63万元，其他工资福利支出增加40.99万元，机关单位养老保险减少0.64万元，商品和服务支出减少5.52万元。</w:t>
      </w:r>
    </w:p>
    <w:p>
      <w:pPr>
        <w:pStyle w:val="7"/>
        <w:spacing w:before="93"/>
        <w:rPr>
          <w:rFonts w:ascii="仿宋" w:hAnsi="仿宋" w:eastAsia="仿宋"/>
          <w:sz w:val="32"/>
          <w:szCs w:val="32"/>
        </w:rPr>
      </w:pPr>
      <w:r>
        <w:rPr>
          <w:rFonts w:hint="eastAsia"/>
        </w:rPr>
        <w:t xml:space="preserve">         </w:t>
      </w:r>
      <w:r>
        <w:drawing>
          <wp:inline distT="0" distB="0" distL="114300" distR="114300">
            <wp:extent cx="3686175" cy="2373630"/>
            <wp:effectExtent l="4445" t="4445" r="5080" b="2222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 w:hAnsi="仿宋" w:eastAsia="仿宋"/>
          <w:b/>
          <w:sz w:val="32"/>
          <w:szCs w:val="32"/>
        </w:rPr>
      </w:pPr>
      <w:r>
        <w:rPr>
          <w:rFonts w:hint="eastAsia" w:ascii="仿宋" w:hAnsi="仿宋" w:eastAsia="仿宋"/>
          <w:sz w:val="32"/>
          <w:szCs w:val="32"/>
        </w:rPr>
        <w:t>（图4：财政拨款收、支决算总计变动情况）</w:t>
      </w:r>
    </w:p>
    <w:p>
      <w:pPr>
        <w:spacing w:line="600" w:lineRule="exact"/>
        <w:ind w:firstLine="640" w:firstLineChars="200"/>
        <w:outlineLvl w:val="1"/>
        <w:rPr>
          <w:rStyle w:val="28"/>
          <w:rFonts w:ascii="黑体" w:hAnsi="黑体" w:eastAsia="黑体"/>
          <w:b w:val="0"/>
        </w:rPr>
      </w:pPr>
      <w:bookmarkStart w:id="41" w:name="_Toc14251"/>
      <w:bookmarkStart w:id="42" w:name="_Toc15396607"/>
      <w:bookmarkStart w:id="43" w:name="_Toc15377209"/>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41"/>
      <w:bookmarkEnd w:id="42"/>
      <w:bookmarkEnd w:id="43"/>
    </w:p>
    <w:p>
      <w:pPr>
        <w:spacing w:line="600" w:lineRule="exact"/>
        <w:ind w:firstLine="643" w:firstLineChars="200"/>
        <w:outlineLvl w:val="2"/>
        <w:rPr>
          <w:rFonts w:ascii="仿宋" w:hAnsi="仿宋" w:eastAsia="仿宋"/>
          <w:b/>
          <w:sz w:val="32"/>
          <w:szCs w:val="32"/>
        </w:rPr>
      </w:pPr>
      <w:bookmarkStart w:id="44" w:name="_Toc1143"/>
      <w:bookmarkStart w:id="45" w:name="_Toc15377210"/>
      <w:r>
        <w:rPr>
          <w:rFonts w:hint="eastAsia" w:ascii="仿宋" w:hAnsi="仿宋" w:eastAsia="仿宋"/>
          <w:b/>
          <w:sz w:val="32"/>
          <w:szCs w:val="32"/>
        </w:rPr>
        <w:t>（一）一般公共预算财政拨款支出决算总体情况</w:t>
      </w:r>
      <w:bookmarkEnd w:id="44"/>
      <w:bookmarkEnd w:id="45"/>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22年一般公共预算财政拨款支出199.15万元，占本年支出合计的100.00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21年相比，一般公共预算财政拨款支出增加46.43万元，增长30.40</w:t>
      </w:r>
      <w:r>
        <w:rPr>
          <w:rFonts w:ascii="仿宋" w:hAnsi="仿宋" w:eastAsia="仿宋"/>
          <w:sz w:val="32"/>
          <w:szCs w:val="32"/>
        </w:rPr>
        <w:t>%</w:t>
      </w:r>
      <w:r>
        <w:rPr>
          <w:rFonts w:hint="eastAsia" w:ascii="仿宋" w:hAnsi="仿宋" w:eastAsia="仿宋"/>
          <w:sz w:val="32"/>
          <w:szCs w:val="32"/>
        </w:rPr>
        <w:t>。主要变动原因是新增事业人员1名，2022年工资、绩效等待遇于当年发放。</w:t>
      </w:r>
    </w:p>
    <w:p>
      <w:pPr>
        <w:pStyle w:val="7"/>
        <w:spacing w:before="93"/>
        <w:rPr>
          <w:rFonts w:ascii="仿宋" w:hAnsi="仿宋" w:eastAsia="仿宋"/>
          <w:sz w:val="32"/>
          <w:szCs w:val="32"/>
        </w:rPr>
      </w:pPr>
      <w:r>
        <w:drawing>
          <wp:anchor distT="0" distB="0" distL="114300" distR="114300" simplePos="0" relativeHeight="251660288" behindDoc="0" locked="0" layoutInCell="1" allowOverlap="1">
            <wp:simplePos x="0" y="0"/>
            <wp:positionH relativeFrom="column">
              <wp:posOffset>758190</wp:posOffset>
            </wp:positionH>
            <wp:positionV relativeFrom="paragraph">
              <wp:posOffset>159385</wp:posOffset>
            </wp:positionV>
            <wp:extent cx="3686175" cy="2362835"/>
            <wp:effectExtent l="4445" t="4445" r="5080" b="13970"/>
            <wp:wrapSquare wrapText="bothSides"/>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7"/>
        <w:spacing w:before="93"/>
        <w:rPr>
          <w:rFonts w:ascii="仿宋" w:hAnsi="仿宋" w:eastAsia="仿宋"/>
          <w:sz w:val="32"/>
          <w:szCs w:val="32"/>
        </w:rPr>
      </w:pPr>
    </w:p>
    <w:p>
      <w:pPr>
        <w:spacing w:line="600" w:lineRule="exact"/>
        <w:ind w:firstLine="1600" w:firstLineChars="500"/>
        <w:rPr>
          <w:rFonts w:ascii="仿宋" w:hAnsi="仿宋" w:eastAsia="仿宋"/>
          <w:sz w:val="32"/>
          <w:szCs w:val="32"/>
        </w:rPr>
      </w:pPr>
      <w:r>
        <w:rPr>
          <w:rFonts w:hint="eastAsia" w:ascii="仿宋" w:hAnsi="仿宋" w:eastAsia="仿宋"/>
          <w:sz w:val="32"/>
          <w:szCs w:val="32"/>
        </w:rPr>
        <w:t xml:space="preserve">      </w:t>
      </w: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w:t>
      </w:r>
    </w:p>
    <w:p>
      <w:pPr>
        <w:spacing w:line="600" w:lineRule="exact"/>
        <w:ind w:firstLine="643" w:firstLineChars="200"/>
        <w:outlineLvl w:val="2"/>
        <w:rPr>
          <w:rFonts w:ascii="仿宋" w:hAnsi="仿宋" w:eastAsia="仿宋"/>
          <w:b/>
          <w:sz w:val="32"/>
          <w:szCs w:val="32"/>
        </w:rPr>
      </w:pPr>
      <w:bookmarkStart w:id="46" w:name="_Toc27734"/>
      <w:bookmarkStart w:id="47" w:name="_Toc15377211"/>
      <w:r>
        <w:rPr>
          <w:rFonts w:hint="eastAsia" w:ascii="仿宋" w:hAnsi="仿宋" w:eastAsia="仿宋"/>
          <w:b/>
          <w:sz w:val="32"/>
          <w:szCs w:val="32"/>
        </w:rPr>
        <w:t>（二）一般公共预算财政拨款支出决算结构情况</w:t>
      </w:r>
      <w:bookmarkEnd w:id="46"/>
      <w:bookmarkEnd w:id="47"/>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22年一般公共预算财政拨款支出199.15万元，主要用于以下方面</w:t>
      </w:r>
      <w:r>
        <w:rPr>
          <w:rFonts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9.18万元，占4.61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6.18万元，占3.11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11.66万元，占5.85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灾害防治及应急管理支出</w:t>
      </w:r>
      <w:r>
        <w:rPr>
          <w:rFonts w:hint="eastAsia" w:ascii="仿宋" w:hAnsi="仿宋" w:eastAsia="仿宋"/>
          <w:sz w:val="32"/>
          <w:szCs w:val="32"/>
        </w:rPr>
        <w:t>172.13万元，占86.43%。</w:t>
      </w:r>
    </w:p>
    <w:p>
      <w:pPr>
        <w:pStyle w:val="7"/>
        <w:spacing w:before="93"/>
        <w:rPr>
          <w:rFonts w:ascii="仿宋" w:hAnsi="仿宋" w:eastAsia="仿宋"/>
          <w:sz w:val="32"/>
          <w:szCs w:val="32"/>
        </w:rPr>
      </w:pPr>
      <w:r>
        <w:rPr>
          <w:rFonts w:hint="eastAsia"/>
        </w:rPr>
        <w:t xml:space="preserve">        </w:t>
      </w:r>
      <w:r>
        <w:drawing>
          <wp:inline distT="0" distB="0" distL="114300" distR="114300">
            <wp:extent cx="3686175" cy="2362835"/>
            <wp:effectExtent l="4445" t="4445" r="5080" b="13970"/>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3" w:firstLineChars="200"/>
        <w:outlineLvl w:val="2"/>
        <w:rPr>
          <w:rFonts w:ascii="仿宋" w:hAnsi="仿宋" w:eastAsia="仿宋"/>
          <w:b/>
          <w:sz w:val="32"/>
          <w:szCs w:val="32"/>
        </w:rPr>
      </w:pPr>
      <w:bookmarkStart w:id="48" w:name="_Toc15377212"/>
      <w:bookmarkStart w:id="49" w:name="_Toc16291"/>
      <w:r>
        <w:rPr>
          <w:rFonts w:hint="eastAsia" w:ascii="仿宋" w:hAnsi="仿宋" w:eastAsia="仿宋"/>
          <w:b/>
          <w:sz w:val="32"/>
          <w:szCs w:val="32"/>
        </w:rPr>
        <w:t>（三）一般公共预算财政拨款支出决算具体情况</w:t>
      </w:r>
      <w:bookmarkEnd w:id="48"/>
      <w:bookmarkEnd w:id="49"/>
    </w:p>
    <w:p>
      <w:pPr>
        <w:spacing w:line="600" w:lineRule="exact"/>
        <w:ind w:firstLine="643" w:firstLineChars="200"/>
        <w:outlineLvl w:val="1"/>
        <w:rPr>
          <w:rFonts w:ascii="仿宋" w:hAnsi="仿宋" w:eastAsia="仿宋"/>
          <w:sz w:val="32"/>
          <w:szCs w:val="32"/>
        </w:rPr>
      </w:pPr>
      <w:bookmarkStart w:id="50" w:name="_Toc15378460"/>
      <w:bookmarkStart w:id="51" w:name="_Toc15377213"/>
      <w:bookmarkStart w:id="52" w:name="_Toc15377444"/>
      <w:bookmarkStart w:id="53" w:name="_Toc1004"/>
      <w:r>
        <w:rPr>
          <w:rFonts w:hint="eastAsia" w:ascii="仿宋" w:hAnsi="仿宋" w:eastAsia="仿宋"/>
          <w:b/>
          <w:sz w:val="32"/>
          <w:szCs w:val="32"/>
        </w:rPr>
        <w:t>2022年一般公共预算支出决算数为199.15</w:t>
      </w:r>
      <w:r>
        <w:rPr>
          <w:rFonts w:hint="eastAsia" w:ascii="仿宋" w:hAnsi="仿宋" w:eastAsia="仿宋"/>
          <w:sz w:val="32"/>
          <w:szCs w:val="32"/>
        </w:rPr>
        <w:t>，</w:t>
      </w:r>
      <w:r>
        <w:rPr>
          <w:rStyle w:val="18"/>
          <w:rFonts w:hint="eastAsia" w:ascii="仿宋" w:hAnsi="仿宋" w:eastAsia="仿宋"/>
          <w:bCs/>
          <w:sz w:val="32"/>
          <w:szCs w:val="32"/>
        </w:rPr>
        <w:t>完成预算100.00</w:t>
      </w:r>
      <w:r>
        <w:rPr>
          <w:rStyle w:val="18"/>
          <w:rFonts w:ascii="仿宋" w:hAnsi="仿宋" w:eastAsia="仿宋"/>
          <w:bCs/>
          <w:sz w:val="32"/>
          <w:szCs w:val="32"/>
        </w:rPr>
        <w:t>%</w:t>
      </w:r>
      <w:r>
        <w:rPr>
          <w:rStyle w:val="18"/>
          <w:rFonts w:hint="eastAsia" w:ascii="仿宋" w:hAnsi="仿宋" w:eastAsia="仿宋"/>
          <w:bCs/>
          <w:sz w:val="32"/>
          <w:szCs w:val="32"/>
        </w:rPr>
        <w:t>。其中：</w:t>
      </w:r>
      <w:bookmarkEnd w:id="50"/>
      <w:bookmarkEnd w:id="51"/>
      <w:bookmarkEnd w:id="52"/>
      <w:bookmarkEnd w:id="53"/>
    </w:p>
    <w:p>
      <w:pPr>
        <w:spacing w:line="600" w:lineRule="exact"/>
        <w:ind w:firstLine="643" w:firstLineChars="200"/>
        <w:rPr>
          <w:rFonts w:ascii="仿宋" w:hAnsi="仿宋" w:eastAsia="仿宋"/>
          <w:b/>
          <w:sz w:val="32"/>
          <w:szCs w:val="32"/>
        </w:rPr>
      </w:pPr>
      <w:r>
        <w:rPr>
          <w:rStyle w:val="18"/>
          <w:rFonts w:hint="eastAsia" w:ascii="仿宋" w:hAnsi="仿宋" w:eastAsia="仿宋"/>
          <w:bCs/>
          <w:sz w:val="32"/>
          <w:szCs w:val="32"/>
        </w:rPr>
        <w:t>1</w:t>
      </w:r>
      <w:r>
        <w:rPr>
          <w:rStyle w:val="18"/>
          <w:rFonts w:ascii="仿宋" w:hAnsi="仿宋" w:eastAsia="仿宋"/>
          <w:bCs/>
          <w:sz w:val="32"/>
          <w:szCs w:val="32"/>
        </w:rPr>
        <w:t>.</w:t>
      </w:r>
      <w:r>
        <w:rPr>
          <w:rStyle w:val="18"/>
          <w:rFonts w:hint="eastAsia" w:ascii="仿宋" w:hAnsi="仿宋" w:eastAsia="仿宋"/>
          <w:bCs/>
          <w:sz w:val="32"/>
          <w:szCs w:val="32"/>
        </w:rPr>
        <w:t>社会保障和就业（类）行政事业单位养老支出（款）  机关事业单位基本养老保险缴费支出（项）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支出决算为9.18万元，完成预算100.00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spacing w:line="600" w:lineRule="exact"/>
        <w:ind w:firstLine="643" w:firstLineChars="200"/>
        <w:rPr>
          <w:rStyle w:val="18"/>
          <w:rFonts w:ascii="仿宋" w:hAnsi="仿宋" w:eastAsia="仿宋"/>
          <w:b w:val="0"/>
          <w:bCs/>
          <w:sz w:val="32"/>
          <w:szCs w:val="32"/>
        </w:rPr>
      </w:pPr>
      <w:r>
        <w:rPr>
          <w:rStyle w:val="18"/>
          <w:rFonts w:hint="eastAsia" w:ascii="仿宋" w:hAnsi="仿宋" w:eastAsia="仿宋"/>
          <w:bCs/>
          <w:sz w:val="32"/>
          <w:szCs w:val="32"/>
        </w:rPr>
        <w:t>2</w:t>
      </w:r>
      <w:r>
        <w:rPr>
          <w:rStyle w:val="18"/>
          <w:rFonts w:ascii="仿宋" w:hAnsi="仿宋" w:eastAsia="仿宋"/>
          <w:bCs/>
          <w:sz w:val="32"/>
          <w:szCs w:val="32"/>
        </w:rPr>
        <w:t>.</w:t>
      </w:r>
      <w:r>
        <w:rPr>
          <w:rFonts w:hint="eastAsia" w:ascii="仿宋" w:hAnsi="仿宋" w:eastAsia="仿宋"/>
          <w:b/>
          <w:bCs/>
          <w:sz w:val="32"/>
          <w:szCs w:val="32"/>
        </w:rPr>
        <w:t>卫生健康</w:t>
      </w:r>
      <w:r>
        <w:rPr>
          <w:rStyle w:val="18"/>
          <w:rFonts w:hint="eastAsia" w:ascii="仿宋" w:hAnsi="仿宋" w:eastAsia="仿宋"/>
          <w:bCs/>
          <w:sz w:val="32"/>
          <w:szCs w:val="32"/>
        </w:rPr>
        <w:t>（类）行政事业单位医疗（款）事业单位医疗（项）</w:t>
      </w:r>
      <w:r>
        <w:rPr>
          <w:rStyle w:val="18"/>
          <w:rFonts w:ascii="仿宋" w:hAnsi="仿宋" w:eastAsia="仿宋"/>
          <w:bCs/>
          <w:sz w:val="32"/>
          <w:szCs w:val="32"/>
        </w:rPr>
        <w:t>:</w:t>
      </w:r>
      <w:r>
        <w:rPr>
          <w:rStyle w:val="18"/>
          <w:rFonts w:hint="eastAsia" w:ascii="仿宋" w:hAnsi="仿宋" w:eastAsia="仿宋"/>
          <w:b w:val="0"/>
          <w:bCs/>
          <w:sz w:val="32"/>
          <w:szCs w:val="32"/>
        </w:rPr>
        <w:t>支出决算为6.18万元，完成预算100.00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spacing w:line="600" w:lineRule="exact"/>
        <w:ind w:firstLine="643" w:firstLineChars="200"/>
        <w:rPr>
          <w:rStyle w:val="18"/>
          <w:rFonts w:ascii="仿宋" w:hAnsi="仿宋" w:eastAsia="仿宋"/>
          <w:b w:val="0"/>
          <w:bCs/>
          <w:sz w:val="32"/>
          <w:szCs w:val="32"/>
        </w:rPr>
      </w:pPr>
      <w:r>
        <w:rPr>
          <w:rStyle w:val="18"/>
          <w:rFonts w:hint="eastAsia" w:ascii="仿宋" w:hAnsi="仿宋" w:eastAsia="仿宋" w:cstheme="minorBidi"/>
          <w:bCs/>
          <w:sz w:val="32"/>
          <w:szCs w:val="32"/>
        </w:rPr>
        <w:t>3.住房保障支出</w:t>
      </w:r>
      <w:r>
        <w:rPr>
          <w:rStyle w:val="18"/>
          <w:rFonts w:hint="eastAsia" w:ascii="仿宋" w:hAnsi="仿宋" w:eastAsia="仿宋"/>
          <w:bCs/>
          <w:sz w:val="32"/>
          <w:szCs w:val="32"/>
        </w:rPr>
        <w:t>（类）住房改革支出（款）住房公积金（项）</w:t>
      </w:r>
      <w:r>
        <w:rPr>
          <w:rStyle w:val="18"/>
          <w:rFonts w:ascii="仿宋" w:hAnsi="仿宋" w:eastAsia="仿宋"/>
          <w:bCs/>
          <w:sz w:val="32"/>
          <w:szCs w:val="32"/>
        </w:rPr>
        <w:t>:</w:t>
      </w:r>
      <w:r>
        <w:rPr>
          <w:rStyle w:val="18"/>
          <w:rFonts w:hint="eastAsia" w:ascii="仿宋" w:hAnsi="仿宋" w:eastAsia="仿宋"/>
          <w:b w:val="0"/>
          <w:bCs/>
          <w:sz w:val="32"/>
          <w:szCs w:val="32"/>
        </w:rPr>
        <w:t>支出决算为11.66万元，完成预算100.00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spacing w:line="600" w:lineRule="exact"/>
        <w:ind w:firstLine="643" w:firstLineChars="200"/>
        <w:rPr>
          <w:rStyle w:val="18"/>
          <w:rFonts w:ascii="仿宋" w:hAnsi="仿宋" w:eastAsia="仿宋"/>
          <w:b w:val="0"/>
          <w:bCs/>
          <w:sz w:val="32"/>
          <w:szCs w:val="32"/>
        </w:rPr>
      </w:pPr>
      <w:r>
        <w:rPr>
          <w:rStyle w:val="18"/>
          <w:rFonts w:hint="eastAsia" w:ascii="仿宋" w:hAnsi="仿宋" w:eastAsia="仿宋" w:cstheme="minorBidi"/>
          <w:bCs/>
          <w:sz w:val="32"/>
          <w:szCs w:val="32"/>
        </w:rPr>
        <w:t>4.灾害防治及应急管理支出(</w:t>
      </w:r>
      <w:r>
        <w:rPr>
          <w:rStyle w:val="18"/>
          <w:rFonts w:hint="eastAsia" w:ascii="仿宋" w:hAnsi="仿宋" w:eastAsia="仿宋"/>
          <w:bCs/>
          <w:sz w:val="32"/>
          <w:szCs w:val="32"/>
        </w:rPr>
        <w:t>类）应急管理事务（款）事业运行（项）</w:t>
      </w:r>
      <w:r>
        <w:rPr>
          <w:rStyle w:val="18"/>
          <w:rFonts w:ascii="仿宋" w:hAnsi="仿宋" w:eastAsia="仿宋"/>
          <w:bCs/>
          <w:sz w:val="32"/>
          <w:szCs w:val="32"/>
        </w:rPr>
        <w:t>:</w:t>
      </w:r>
      <w:r>
        <w:rPr>
          <w:rStyle w:val="18"/>
          <w:rFonts w:hint="eastAsia" w:ascii="仿宋" w:hAnsi="仿宋" w:eastAsia="仿宋"/>
          <w:b w:val="0"/>
          <w:bCs/>
          <w:sz w:val="32"/>
          <w:szCs w:val="32"/>
        </w:rPr>
        <w:t>支出决算为167.63万元，完成预算100.00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spacing w:line="600" w:lineRule="exact"/>
        <w:ind w:firstLine="643" w:firstLineChars="200"/>
        <w:rPr>
          <w:rStyle w:val="18"/>
          <w:rFonts w:ascii="仿宋" w:hAnsi="仿宋" w:eastAsia="仿宋"/>
          <w:b w:val="0"/>
          <w:bCs/>
          <w:sz w:val="32"/>
          <w:szCs w:val="32"/>
        </w:rPr>
      </w:pPr>
      <w:r>
        <w:rPr>
          <w:rStyle w:val="18"/>
          <w:rFonts w:hint="eastAsia" w:ascii="仿宋" w:hAnsi="仿宋" w:eastAsia="仿宋" w:cstheme="minorBidi"/>
          <w:bCs/>
          <w:sz w:val="32"/>
          <w:szCs w:val="32"/>
        </w:rPr>
        <w:t>5.灾害防治及应急管理支出(</w:t>
      </w:r>
      <w:r>
        <w:rPr>
          <w:rStyle w:val="18"/>
          <w:rFonts w:hint="eastAsia" w:ascii="仿宋" w:hAnsi="仿宋" w:eastAsia="仿宋"/>
          <w:bCs/>
          <w:sz w:val="32"/>
          <w:szCs w:val="32"/>
        </w:rPr>
        <w:t>类）应急管理事务（款）其他应急管理支出（项）</w:t>
      </w:r>
      <w:r>
        <w:rPr>
          <w:rStyle w:val="18"/>
          <w:rFonts w:ascii="仿宋" w:hAnsi="仿宋" w:eastAsia="仿宋"/>
          <w:bCs/>
          <w:sz w:val="32"/>
          <w:szCs w:val="32"/>
        </w:rPr>
        <w:t>:</w:t>
      </w:r>
      <w:r>
        <w:rPr>
          <w:rStyle w:val="18"/>
          <w:rFonts w:hint="eastAsia" w:ascii="仿宋" w:hAnsi="仿宋" w:eastAsia="仿宋"/>
          <w:b w:val="0"/>
          <w:bCs/>
          <w:sz w:val="32"/>
          <w:szCs w:val="32"/>
        </w:rPr>
        <w:t>支出决算为4.5万元，完成预算100.00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tabs>
          <w:tab w:val="right" w:pos="8306"/>
        </w:tabs>
        <w:spacing w:line="600" w:lineRule="exact"/>
        <w:ind w:firstLine="640"/>
        <w:outlineLvl w:val="1"/>
        <w:rPr>
          <w:rStyle w:val="28"/>
        </w:rPr>
      </w:pPr>
      <w:bookmarkStart w:id="54" w:name="_Toc15377214"/>
      <w:bookmarkStart w:id="55" w:name="_Toc15396608"/>
      <w:bookmarkStart w:id="56" w:name="_Toc8117"/>
      <w:r>
        <w:rPr>
          <w:rFonts w:hint="eastAsia" w:ascii="仿宋" w:hAnsi="仿宋" w:eastAsia="仿宋"/>
          <w:b/>
          <w:sz w:val="32"/>
          <w:szCs w:val="32"/>
        </w:rPr>
        <w:t xml:space="preserve"> </w:t>
      </w: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54"/>
      <w:bookmarkEnd w:id="55"/>
      <w:bookmarkEnd w:id="56"/>
      <w:r>
        <w:rPr>
          <w:rStyle w:val="28"/>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22年一般公共预算财政拨款基本支出194.65万元，其中：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人员经费165.04万元，主要包括：基本工资、津贴补贴、绩效工资、机关事业单位基本养老保险缴费、职工基本医疗保险缴费、其他社会保障缴费、其他工资福利支出、住房公积金等。</w:t>
      </w:r>
    </w:p>
    <w:p>
      <w:pPr>
        <w:spacing w:line="600" w:lineRule="exact"/>
        <w:ind w:firstLine="645"/>
        <w:rPr>
          <w:rFonts w:ascii="仿宋" w:hAnsi="仿宋" w:eastAsia="仿宋"/>
          <w:sz w:val="32"/>
          <w:szCs w:val="32"/>
        </w:rPr>
      </w:pPr>
      <w:r>
        <w:rPr>
          <w:rFonts w:hint="eastAsia" w:ascii="仿宋" w:hAnsi="仿宋" w:eastAsia="仿宋"/>
          <w:sz w:val="32"/>
          <w:szCs w:val="32"/>
        </w:rPr>
        <w:t>公用经费29.61万元，主要包括：办公费、水费、物业管理费、维修（护）费、委托业务费、工会经费、福利费、公务用车运行维护费、其他商品和服务支出等。</w:t>
      </w:r>
    </w:p>
    <w:p>
      <w:pPr>
        <w:spacing w:line="600" w:lineRule="exact"/>
        <w:ind w:firstLine="640"/>
        <w:outlineLvl w:val="1"/>
        <w:rPr>
          <w:rStyle w:val="28"/>
          <w:rFonts w:ascii="黑体" w:hAnsi="黑体" w:eastAsia="黑体"/>
          <w:b w:val="0"/>
        </w:rPr>
      </w:pPr>
      <w:bookmarkStart w:id="57" w:name="_Toc15377215"/>
      <w:bookmarkStart w:id="58" w:name="_Toc26850"/>
      <w:bookmarkStart w:id="59" w:name="_Toc15396609"/>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57"/>
      <w:bookmarkEnd w:id="58"/>
      <w:bookmarkEnd w:id="59"/>
    </w:p>
    <w:p>
      <w:pPr>
        <w:spacing w:line="600" w:lineRule="exact"/>
        <w:ind w:firstLine="640"/>
        <w:outlineLvl w:val="2"/>
        <w:rPr>
          <w:rFonts w:ascii="仿宋" w:hAnsi="仿宋" w:eastAsia="仿宋"/>
          <w:b/>
          <w:sz w:val="32"/>
          <w:szCs w:val="32"/>
        </w:rPr>
      </w:pPr>
      <w:bookmarkStart w:id="60" w:name="_Toc15377216"/>
      <w:bookmarkStart w:id="61" w:name="_Toc29812"/>
      <w:r>
        <w:rPr>
          <w:rFonts w:hint="eastAsia" w:ascii="仿宋" w:hAnsi="仿宋" w:eastAsia="仿宋"/>
          <w:b/>
          <w:sz w:val="32"/>
          <w:szCs w:val="32"/>
        </w:rPr>
        <w:t>（一）“三公”经费财政拨款支出决算总体情况说明</w:t>
      </w:r>
      <w:bookmarkEnd w:id="60"/>
      <w:bookmarkEnd w:id="61"/>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22年“三公”经费财政拨款支出决算为6.95万元，完成预算100.00</w:t>
      </w:r>
      <w:r>
        <w:rPr>
          <w:rFonts w:ascii="仿宋" w:hAnsi="仿宋" w:eastAsia="仿宋"/>
          <w:sz w:val="32"/>
          <w:szCs w:val="32"/>
        </w:rPr>
        <w:t>%</w:t>
      </w:r>
      <w:r>
        <w:rPr>
          <w:rFonts w:hint="eastAsia" w:ascii="仿宋" w:hAnsi="仿宋" w:eastAsia="仿宋"/>
          <w:sz w:val="32"/>
          <w:szCs w:val="32"/>
        </w:rPr>
        <w:t>，决算数与预算数持平。</w:t>
      </w:r>
    </w:p>
    <w:p>
      <w:pPr>
        <w:spacing w:line="600" w:lineRule="exact"/>
        <w:ind w:firstLine="640"/>
        <w:outlineLvl w:val="2"/>
        <w:rPr>
          <w:rFonts w:ascii="仿宋" w:hAnsi="仿宋" w:eastAsia="仿宋"/>
          <w:b/>
          <w:sz w:val="32"/>
          <w:szCs w:val="32"/>
        </w:rPr>
      </w:pPr>
      <w:bookmarkStart w:id="62" w:name="_Toc15377217"/>
      <w:bookmarkStart w:id="63" w:name="_Toc9824"/>
      <w:r>
        <w:rPr>
          <w:rFonts w:hint="eastAsia" w:ascii="仿宋" w:hAnsi="仿宋" w:eastAsia="仿宋"/>
          <w:b/>
          <w:sz w:val="32"/>
          <w:szCs w:val="32"/>
        </w:rPr>
        <w:t>（二）“三公”经费财政拨款支出决算具体情况说明</w:t>
      </w:r>
      <w:bookmarkEnd w:id="62"/>
      <w:bookmarkEnd w:id="63"/>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22年“三公”经费财政拨款支出决算中，因公出国（境）费支出决算0.00万元，占0.00</w:t>
      </w:r>
      <w:r>
        <w:rPr>
          <w:rFonts w:ascii="仿宋" w:hAnsi="仿宋" w:eastAsia="仿宋"/>
          <w:sz w:val="32"/>
          <w:szCs w:val="32"/>
        </w:rPr>
        <w:t>%</w:t>
      </w:r>
      <w:r>
        <w:rPr>
          <w:rFonts w:hint="eastAsia" w:ascii="仿宋" w:hAnsi="仿宋" w:eastAsia="仿宋"/>
          <w:sz w:val="32"/>
          <w:szCs w:val="32"/>
        </w:rPr>
        <w:t>；公务用车购置及运行维护费支出决算6.95万元，占100.00</w:t>
      </w:r>
      <w:r>
        <w:rPr>
          <w:rFonts w:ascii="仿宋" w:hAnsi="仿宋" w:eastAsia="仿宋"/>
          <w:sz w:val="32"/>
          <w:szCs w:val="32"/>
        </w:rPr>
        <w:t>%</w:t>
      </w:r>
      <w:r>
        <w:rPr>
          <w:rFonts w:hint="eastAsia" w:ascii="仿宋" w:hAnsi="仿宋" w:eastAsia="仿宋"/>
          <w:sz w:val="32"/>
          <w:szCs w:val="32"/>
        </w:rPr>
        <w:t>；公务接待费支出决算0.00万元，占0.00</w:t>
      </w:r>
      <w:r>
        <w:rPr>
          <w:rFonts w:ascii="仿宋" w:hAnsi="仿宋" w:eastAsia="仿宋"/>
          <w:sz w:val="32"/>
          <w:szCs w:val="32"/>
        </w:rPr>
        <w:t>%</w:t>
      </w:r>
      <w:r>
        <w:rPr>
          <w:rFonts w:hint="eastAsia" w:ascii="仿宋" w:hAnsi="仿宋" w:eastAsia="仿宋"/>
          <w:sz w:val="32"/>
          <w:szCs w:val="32"/>
        </w:rPr>
        <w:t>。具体情况如下：</w:t>
      </w:r>
    </w:p>
    <w:p>
      <w:pPr>
        <w:pStyle w:val="7"/>
        <w:spacing w:before="93"/>
        <w:rPr>
          <w:rFonts w:ascii="仿宋" w:hAnsi="仿宋" w:eastAsia="仿宋"/>
          <w:sz w:val="32"/>
          <w:szCs w:val="32"/>
        </w:rPr>
      </w:pPr>
      <w:r>
        <w:rPr>
          <w:rFonts w:hint="eastAsia"/>
        </w:rPr>
        <w:t xml:space="preserve">      </w:t>
      </w:r>
      <w:r>
        <w:drawing>
          <wp:inline distT="0" distB="0" distL="114300" distR="114300">
            <wp:extent cx="3686175" cy="2362835"/>
            <wp:effectExtent l="4445" t="4445" r="5080" b="13970"/>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0.00万元</w:t>
      </w:r>
      <w:r>
        <w:rPr>
          <w:rStyle w:val="18"/>
          <w:rFonts w:hint="eastAsia" w:ascii="仿宋" w:hAnsi="仿宋" w:eastAsia="仿宋"/>
          <w:b w:val="0"/>
          <w:bCs/>
          <w:sz w:val="32"/>
          <w:szCs w:val="32"/>
        </w:rPr>
        <w:t>。</w:t>
      </w:r>
      <w:r>
        <w:rPr>
          <w:rFonts w:hint="eastAsia" w:ascii="仿宋_GB2312" w:eastAsia="仿宋_GB2312"/>
          <w:sz w:val="32"/>
          <w:szCs w:val="32"/>
        </w:rPr>
        <w:t>全年安排因公出国（境）团组0次，出国（境）0人。因公出国（境）支出决算于2021年持平。</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6.95万元,</w:t>
      </w:r>
      <w:r>
        <w:rPr>
          <w:rStyle w:val="18"/>
          <w:rFonts w:hint="eastAsia" w:ascii="仿宋" w:hAnsi="仿宋" w:eastAsia="仿宋"/>
          <w:b w:val="0"/>
          <w:bCs/>
          <w:sz w:val="32"/>
          <w:szCs w:val="32"/>
        </w:rPr>
        <w:t>完成预算100.00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21年增加1.24万元，增长21.72</w:t>
      </w:r>
      <w:r>
        <w:rPr>
          <w:rFonts w:ascii="仿宋_GB2312" w:eastAsia="仿宋_GB2312"/>
          <w:sz w:val="32"/>
          <w:szCs w:val="32"/>
        </w:rPr>
        <w:t>%</w:t>
      </w:r>
      <w:r>
        <w:rPr>
          <w:rFonts w:hint="eastAsia" w:ascii="仿宋_GB2312" w:eastAsia="仿宋_GB2312"/>
          <w:sz w:val="32"/>
          <w:szCs w:val="32"/>
        </w:rPr>
        <w:t>。主要原因是2022年度公务活动增加，公务用车使用频率增加。</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0.00万元。全年按规定更新购置公务用车0辆，其中：轿车0辆、金额0.00万元，越野车0辆、金额0.00万元，载客汽车0辆、金额0.00万元。截至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月底，单位共有公务用车2辆，其中：轿车0辆、越野车1辆、载客汽车1辆。</w:t>
      </w:r>
    </w:p>
    <w:p>
      <w:pPr>
        <w:spacing w:line="600" w:lineRule="exact"/>
        <w:ind w:firstLine="640"/>
        <w:rPr>
          <w:rFonts w:ascii="仿宋_GB2312" w:eastAsia="仿宋_GB2312"/>
          <w:color w:val="000000"/>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6.95万元。主要用于</w:t>
      </w:r>
      <w:r>
        <w:rPr>
          <w:rFonts w:hint="eastAsia" w:ascii="仿宋_GB2312" w:eastAsia="仿宋_GB2312"/>
          <w:color w:val="000000"/>
          <w:sz w:val="32"/>
          <w:szCs w:val="32"/>
        </w:rPr>
        <w:t>应急、防灾救灾等所需的公务用车燃料费、维修费、过路过桥费、保险费等支出。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0万元</w:t>
      </w:r>
      <w:r>
        <w:rPr>
          <w:rStyle w:val="18"/>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21年因公出国（境）支出决算于2021年持平。其中：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0</w:t>
      </w:r>
      <w:r>
        <w:rPr>
          <w:rFonts w:hint="eastAsia" w:ascii="仿宋_GB2312" w:eastAsia="仿宋_GB2312"/>
          <w:sz w:val="32"/>
          <w:szCs w:val="32"/>
        </w:rPr>
        <w:t>万元。</w:t>
      </w:r>
    </w:p>
    <w:p>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w:t>
      </w:r>
      <w:bookmarkStart w:id="64" w:name="_Toc15377218"/>
      <w:bookmarkStart w:id="65" w:name="_Toc15396610"/>
    </w:p>
    <w:p>
      <w:pPr>
        <w:spacing w:line="600" w:lineRule="exact"/>
        <w:ind w:firstLine="640"/>
        <w:outlineLvl w:val="1"/>
        <w:rPr>
          <w:rStyle w:val="28"/>
          <w:rFonts w:ascii="黑体" w:hAnsi="黑体" w:eastAsia="黑体"/>
        </w:rPr>
      </w:pPr>
      <w:bookmarkStart w:id="66" w:name="_Toc13540"/>
      <w:r>
        <w:rPr>
          <w:rFonts w:hint="eastAsia" w:ascii="黑体" w:eastAsia="黑体"/>
          <w:sz w:val="32"/>
          <w:szCs w:val="32"/>
        </w:rPr>
        <w:t>八、</w:t>
      </w:r>
      <w:r>
        <w:rPr>
          <w:rStyle w:val="28"/>
          <w:rFonts w:hint="eastAsia" w:ascii="黑体" w:hAnsi="黑体" w:eastAsia="黑体"/>
          <w:b w:val="0"/>
        </w:rPr>
        <w:t>政府性基金预算支出决算情况说明</w:t>
      </w:r>
      <w:bookmarkEnd w:id="64"/>
      <w:bookmarkEnd w:id="65"/>
      <w:bookmarkEnd w:id="66"/>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22年政府性基金预算财政拨款支出0.00万元。</w:t>
      </w:r>
    </w:p>
    <w:p>
      <w:pPr>
        <w:numPr>
          <w:ilvl w:val="0"/>
          <w:numId w:val="3"/>
        </w:numPr>
        <w:spacing w:line="600" w:lineRule="exact"/>
        <w:ind w:firstLine="640"/>
        <w:outlineLvl w:val="1"/>
        <w:rPr>
          <w:rStyle w:val="28"/>
          <w:rFonts w:ascii="黑体" w:hAnsi="黑体" w:eastAsia="黑体"/>
          <w:b w:val="0"/>
        </w:rPr>
      </w:pPr>
      <w:bookmarkStart w:id="67" w:name="_Toc30193"/>
      <w:bookmarkStart w:id="68" w:name="_Toc15377219"/>
      <w:bookmarkStart w:id="69" w:name="_Toc15396611"/>
      <w:r>
        <w:rPr>
          <w:rStyle w:val="28"/>
          <w:rFonts w:hint="eastAsia" w:ascii="黑体" w:hAnsi="黑体" w:eastAsia="黑体"/>
          <w:b w:val="0"/>
        </w:rPr>
        <w:t>国有资本经营预算支出决算情况说明</w:t>
      </w:r>
      <w:bookmarkEnd w:id="67"/>
      <w:bookmarkEnd w:id="68"/>
      <w:bookmarkEnd w:id="69"/>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22年国有资本经营预算财政拨款支出0.00万元。</w:t>
      </w:r>
    </w:p>
    <w:p>
      <w:pPr>
        <w:numPr>
          <w:ilvl w:val="0"/>
          <w:numId w:val="3"/>
        </w:numPr>
        <w:spacing w:line="600" w:lineRule="exact"/>
        <w:ind w:firstLine="640"/>
        <w:outlineLvl w:val="1"/>
        <w:rPr>
          <w:rStyle w:val="28"/>
          <w:rFonts w:ascii="黑体" w:hAnsi="黑体" w:eastAsia="黑体"/>
          <w:b w:val="0"/>
        </w:rPr>
      </w:pPr>
      <w:bookmarkStart w:id="70" w:name="_Toc15377221"/>
      <w:bookmarkStart w:id="71" w:name="_Toc15396612"/>
      <w:bookmarkStart w:id="72" w:name="_Toc8367"/>
      <w:r>
        <w:rPr>
          <w:rStyle w:val="28"/>
          <w:rFonts w:hint="eastAsia" w:ascii="黑体" w:hAnsi="黑体" w:eastAsia="黑体"/>
          <w:b w:val="0"/>
        </w:rPr>
        <w:t>其他重要事项的情况说明</w:t>
      </w:r>
      <w:bookmarkEnd w:id="70"/>
      <w:bookmarkEnd w:id="71"/>
      <w:bookmarkEnd w:id="72"/>
    </w:p>
    <w:p>
      <w:pPr>
        <w:spacing w:line="600" w:lineRule="exact"/>
        <w:ind w:firstLine="643" w:firstLineChars="200"/>
        <w:outlineLvl w:val="2"/>
        <w:rPr>
          <w:rFonts w:ascii="仿宋" w:hAnsi="仿宋" w:eastAsia="仿宋"/>
          <w:sz w:val="32"/>
          <w:szCs w:val="32"/>
        </w:rPr>
      </w:pPr>
      <w:bookmarkStart w:id="73" w:name="_Toc15377222"/>
      <w:bookmarkStart w:id="74" w:name="_Toc31671"/>
      <w:r>
        <w:rPr>
          <w:rFonts w:hint="eastAsia" w:ascii="仿宋" w:hAnsi="仿宋" w:eastAsia="仿宋"/>
          <w:b/>
          <w:sz w:val="32"/>
          <w:szCs w:val="32"/>
        </w:rPr>
        <w:t>（一）机关运行经费支出情况</w:t>
      </w:r>
      <w:bookmarkEnd w:id="73"/>
      <w:bookmarkEnd w:id="74"/>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22年，遂宁市减灾中心机关运行经费支出0.00万元，与</w:t>
      </w:r>
      <w:r>
        <w:rPr>
          <w:rFonts w:ascii="仿宋_GB2312" w:eastAsia="仿宋_GB2312"/>
          <w:sz w:val="32"/>
          <w:szCs w:val="32"/>
        </w:rPr>
        <w:t>20</w:t>
      </w:r>
      <w:r>
        <w:rPr>
          <w:rFonts w:hint="eastAsia" w:ascii="仿宋_GB2312" w:eastAsia="仿宋_GB2312"/>
          <w:sz w:val="32"/>
          <w:szCs w:val="32"/>
        </w:rPr>
        <w:t>21年决算数持平。主要原因是减灾中心为事业单位，无机关运行经费支出。</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75" w:name="_Toc10758"/>
      <w:bookmarkStart w:id="76" w:name="_Toc15377223"/>
      <w:r>
        <w:rPr>
          <w:rFonts w:hint="eastAsia" w:ascii="仿宋" w:hAnsi="仿宋" w:eastAsia="仿宋"/>
          <w:b/>
          <w:sz w:val="32"/>
          <w:szCs w:val="32"/>
        </w:rPr>
        <w:t>（二）政府采购支出情况</w:t>
      </w:r>
      <w:bookmarkEnd w:id="75"/>
      <w:bookmarkEnd w:id="76"/>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22年，遂宁市减灾中心政府采购支出总额0.00万元，其中：政府采购货物支出0.00万元、政府采购工程支出0.00万元、政府采购服务支出0.00万元。</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77" w:name="_Toc11602"/>
      <w:bookmarkStart w:id="78" w:name="_Toc15377224"/>
      <w:r>
        <w:rPr>
          <w:rFonts w:hint="eastAsia" w:ascii="仿宋" w:hAnsi="仿宋" w:eastAsia="仿宋"/>
          <w:b/>
          <w:sz w:val="32"/>
          <w:szCs w:val="32"/>
        </w:rPr>
        <w:t>（三）国有资产占有使用情况</w:t>
      </w:r>
      <w:bookmarkEnd w:id="77"/>
      <w:bookmarkEnd w:id="7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日，遂宁市减灾中心共有车辆2辆，其中：主要领导干部用车0辆、机要通信用车0辆、应急保障用车2辆、其他用车0辆。单价</w:t>
      </w:r>
      <w:r>
        <w:rPr>
          <w:rFonts w:ascii="仿宋_GB2312" w:eastAsia="仿宋_GB2312"/>
          <w:sz w:val="32"/>
          <w:szCs w:val="32"/>
        </w:rPr>
        <w:t>100</w:t>
      </w:r>
      <w:r>
        <w:rPr>
          <w:rFonts w:hint="eastAsia" w:ascii="仿宋_GB2312" w:eastAsia="仿宋_GB2312"/>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79" w:name="_Toc21370"/>
      <w:r>
        <w:rPr>
          <w:rFonts w:hint="eastAsia" w:ascii="仿宋" w:hAnsi="仿宋" w:eastAsia="仿宋"/>
          <w:b/>
          <w:sz w:val="32"/>
          <w:szCs w:val="32"/>
        </w:rPr>
        <w:t>（四）预算绩效管理情况</w:t>
      </w:r>
      <w:bookmarkEnd w:id="79"/>
    </w:p>
    <w:p>
      <w:pPr>
        <w:pStyle w:val="7"/>
        <w:spacing w:before="93"/>
        <w:ind w:firstLine="640" w:firstLineChars="200"/>
        <w:rPr>
          <w:highlight w:val="yellow"/>
        </w:rPr>
      </w:pPr>
      <w:r>
        <w:rPr>
          <w:rFonts w:hint="eastAsia" w:hAnsi="仿宋_GB2312" w:cs="仿宋_GB2312"/>
          <w:sz w:val="32"/>
          <w:szCs w:val="32"/>
        </w:rPr>
        <w:t>根据预算绩效管理要求，本单位在2022年度预算编制阶段，组织对0个项目开展了预算事前绩效评估，对18个人员类、运转类、特定目标类项目编制了绩效目标，预算执行过程中，选取1个特定目标类项目开展绩效监控，组织对1个特定目标类项目开展绩效自评，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7"/>
          <w:rFonts w:ascii="黑体" w:hAnsi="黑体" w:eastAsia="黑体"/>
          <w:b w:val="0"/>
        </w:rPr>
      </w:pPr>
      <w:bookmarkStart w:id="80" w:name="_Toc15396613"/>
      <w:bookmarkStart w:id="81" w:name="_Toc208"/>
      <w:bookmarkStart w:id="82" w:name="_Toc15377225"/>
      <w:r>
        <w:rPr>
          <w:rFonts w:hint="eastAsia" w:ascii="黑体" w:hAnsi="黑体" w:eastAsia="黑体"/>
          <w:sz w:val="44"/>
          <w:szCs w:val="44"/>
        </w:rPr>
        <w:t>名</w:t>
      </w:r>
      <w:r>
        <w:rPr>
          <w:rStyle w:val="27"/>
          <w:rFonts w:hint="eastAsia" w:ascii="黑体" w:hAnsi="黑体" w:eastAsia="黑体"/>
          <w:b w:val="0"/>
        </w:rPr>
        <w:t>词解释</w:t>
      </w:r>
      <w:bookmarkEnd w:id="80"/>
      <w:bookmarkEnd w:id="81"/>
      <w:bookmarkEnd w:id="82"/>
    </w:p>
    <w:p>
      <w:pPr>
        <w:spacing w:line="600" w:lineRule="exact"/>
        <w:jc w:val="left"/>
        <w:rPr>
          <w:rFonts w:ascii="宋体"/>
          <w:b/>
          <w:sz w:val="44"/>
          <w:szCs w:val="44"/>
        </w:rPr>
      </w:pPr>
    </w:p>
    <w:p>
      <w:pPr>
        <w:widowControl/>
        <w:shd w:val="clear" w:color="auto" w:fill="FFFFFF"/>
        <w:spacing w:after="150" w:line="560" w:lineRule="atLeast"/>
        <w:ind w:firstLine="640"/>
        <w:jc w:val="left"/>
        <w:outlineLvl w:val="1"/>
        <w:rPr>
          <w:rFonts w:ascii="微软雅黑" w:hAnsi="微软雅黑" w:eastAsia="微软雅黑" w:cs="微软雅黑"/>
          <w:color w:val="333333"/>
          <w:sz w:val="24"/>
        </w:rPr>
      </w:pPr>
      <w:bookmarkStart w:id="83" w:name="_Toc18835"/>
      <w:r>
        <w:rPr>
          <w:rFonts w:ascii="仿宋_GB2312" w:hAnsi="微软雅黑" w:eastAsia="仿宋_GB2312" w:cs="仿宋_GB2312"/>
          <w:color w:val="333333"/>
          <w:kern w:val="0"/>
          <w:sz w:val="32"/>
          <w:szCs w:val="32"/>
          <w:shd w:val="clear" w:color="auto" w:fill="FFFFFF"/>
        </w:rPr>
        <w:t>1.财政拨款收入：指单位从同级财政部门取得的财政预算资金。</w:t>
      </w:r>
      <w:bookmarkEnd w:id="83"/>
    </w:p>
    <w:p>
      <w:pPr>
        <w:widowControl/>
        <w:shd w:val="clear" w:color="auto" w:fill="FFFFFF"/>
        <w:spacing w:after="150" w:line="560" w:lineRule="atLeast"/>
        <w:ind w:firstLine="640"/>
        <w:jc w:val="left"/>
        <w:rPr>
          <w:rFonts w:ascii="微软雅黑" w:hAnsi="微软雅黑" w:eastAsia="微软雅黑" w:cs="微软雅黑"/>
          <w:color w:val="333333"/>
          <w:sz w:val="24"/>
        </w:rPr>
      </w:pPr>
      <w:r>
        <w:rPr>
          <w:rFonts w:ascii="仿宋_GB2312" w:hAnsi="微软雅黑" w:eastAsia="仿宋_GB2312" w:cs="仿宋_GB2312"/>
          <w:color w:val="333333"/>
          <w:kern w:val="0"/>
          <w:sz w:val="32"/>
          <w:szCs w:val="32"/>
          <w:shd w:val="clear" w:color="auto" w:fill="FFFFFF"/>
        </w:rPr>
        <w:t>2.事业收入：指事业单位开展专业业务活动及辅助活动取得的收入。</w:t>
      </w:r>
    </w:p>
    <w:p>
      <w:pPr>
        <w:widowControl/>
        <w:shd w:val="clear" w:color="auto" w:fill="FFFFFF"/>
        <w:spacing w:after="150" w:line="560" w:lineRule="atLeast"/>
        <w:ind w:firstLine="640"/>
        <w:jc w:val="left"/>
        <w:rPr>
          <w:rFonts w:ascii="微软雅黑" w:hAnsi="微软雅黑" w:eastAsia="微软雅黑" w:cs="微软雅黑"/>
          <w:color w:val="333333"/>
          <w:sz w:val="24"/>
        </w:rPr>
      </w:pPr>
      <w:r>
        <w:rPr>
          <w:rFonts w:ascii="仿宋_GB2312" w:hAnsi="微软雅黑" w:eastAsia="仿宋_GB2312" w:cs="仿宋_GB2312"/>
          <w:color w:val="333333"/>
          <w:kern w:val="0"/>
          <w:sz w:val="32"/>
          <w:szCs w:val="32"/>
          <w:shd w:val="clear" w:color="auto" w:fill="FFFFFF"/>
        </w:rPr>
        <w:t>3.经营收入：指事业单位在专业业务活动及其辅助活动之外开展非独立核算经营活动取得的收入。</w:t>
      </w:r>
    </w:p>
    <w:p>
      <w:pPr>
        <w:widowControl/>
        <w:shd w:val="clear" w:color="auto" w:fill="FFFFFF"/>
        <w:spacing w:after="150" w:line="560" w:lineRule="atLeast"/>
        <w:ind w:firstLine="640"/>
        <w:jc w:val="left"/>
        <w:outlineLvl w:val="1"/>
        <w:rPr>
          <w:rFonts w:ascii="微软雅黑" w:hAnsi="微软雅黑" w:eastAsia="微软雅黑" w:cs="微软雅黑"/>
          <w:color w:val="333333"/>
          <w:sz w:val="24"/>
        </w:rPr>
      </w:pPr>
      <w:bookmarkStart w:id="84" w:name="_Toc11369"/>
      <w:r>
        <w:rPr>
          <w:rFonts w:ascii="仿宋_GB2312" w:hAnsi="微软雅黑" w:eastAsia="仿宋_GB2312" w:cs="仿宋_GB2312"/>
          <w:color w:val="333333"/>
          <w:kern w:val="0"/>
          <w:sz w:val="32"/>
          <w:szCs w:val="32"/>
          <w:shd w:val="clear" w:color="auto" w:fill="FFFFFF"/>
        </w:rPr>
        <w:t>4.其他收入：指单位取得的除上述收入以外的各项收入</w:t>
      </w:r>
      <w:bookmarkEnd w:id="84"/>
    </w:p>
    <w:p>
      <w:pPr>
        <w:widowControl/>
        <w:shd w:val="clear" w:color="auto" w:fill="FFFFFF"/>
        <w:spacing w:after="150" w:line="560" w:lineRule="atLeast"/>
        <w:ind w:firstLine="640"/>
        <w:jc w:val="left"/>
        <w:rPr>
          <w:rFonts w:ascii="微软雅黑" w:hAnsi="微软雅黑" w:eastAsia="微软雅黑" w:cs="微软雅黑"/>
          <w:color w:val="333333"/>
          <w:sz w:val="24"/>
        </w:rPr>
      </w:pPr>
      <w:r>
        <w:rPr>
          <w:rFonts w:ascii="仿宋_GB2312" w:hAnsi="微软雅黑" w:eastAsia="仿宋_GB2312" w:cs="仿宋_GB2312"/>
          <w:color w:val="333333"/>
          <w:kern w:val="0"/>
          <w:sz w:val="32"/>
          <w:szCs w:val="32"/>
          <w:shd w:val="clear" w:color="auto" w:fill="FFFFFF"/>
        </w:rPr>
        <w:t>5.使用非财政拨款结余：指事业单位使用以前年度积累的非财政拨款结余弥补当年收支差额的金额。</w:t>
      </w:r>
    </w:p>
    <w:p>
      <w:pPr>
        <w:widowControl/>
        <w:shd w:val="clear" w:color="auto" w:fill="FFFFFF"/>
        <w:spacing w:after="150" w:line="560" w:lineRule="atLeast"/>
        <w:ind w:firstLine="640"/>
        <w:jc w:val="left"/>
        <w:rPr>
          <w:rFonts w:ascii="微软雅黑" w:hAnsi="微软雅黑" w:eastAsia="微软雅黑" w:cs="微软雅黑"/>
          <w:color w:val="333333"/>
          <w:sz w:val="24"/>
        </w:rPr>
      </w:pPr>
      <w:r>
        <w:rPr>
          <w:rFonts w:ascii="仿宋_GB2312" w:hAnsi="微软雅黑" w:eastAsia="仿宋_GB2312" w:cs="仿宋_GB2312"/>
          <w:color w:val="333333"/>
          <w:kern w:val="0"/>
          <w:sz w:val="32"/>
          <w:szCs w:val="32"/>
          <w:shd w:val="clear" w:color="auto" w:fill="FFFFFF"/>
        </w:rPr>
        <w:t>6.年初结转和结余：指以前年度尚未完成、结转到本年按有关规定继续使用的资金。</w:t>
      </w:r>
    </w:p>
    <w:p>
      <w:pPr>
        <w:widowControl/>
        <w:shd w:val="clear" w:color="auto" w:fill="FFFFFF"/>
        <w:spacing w:after="150" w:line="560" w:lineRule="atLeast"/>
        <w:ind w:firstLine="640"/>
        <w:jc w:val="left"/>
        <w:rPr>
          <w:rFonts w:ascii="微软雅黑" w:hAnsi="微软雅黑" w:eastAsia="微软雅黑" w:cs="微软雅黑"/>
          <w:color w:val="333333"/>
          <w:sz w:val="24"/>
        </w:rPr>
      </w:pPr>
      <w:r>
        <w:rPr>
          <w:rFonts w:ascii="仿宋_GB2312" w:hAnsi="微软雅黑" w:eastAsia="仿宋_GB2312" w:cs="仿宋_GB2312"/>
          <w:color w:val="333333"/>
          <w:kern w:val="0"/>
          <w:sz w:val="32"/>
          <w:szCs w:val="32"/>
          <w:shd w:val="clear" w:color="auto" w:fill="FFFFFF"/>
        </w:rPr>
        <w:t>7.结余分配：指事业单位按照会计制度规定缴纳的所得税、提取的专用结余以及转入非财政拨款结余的金额等。</w:t>
      </w:r>
    </w:p>
    <w:p>
      <w:pPr>
        <w:widowControl/>
        <w:shd w:val="clear" w:color="auto" w:fill="FFFFFF"/>
        <w:spacing w:after="150" w:line="560" w:lineRule="atLeast"/>
        <w:ind w:firstLine="640"/>
        <w:jc w:val="left"/>
        <w:rPr>
          <w:rFonts w:ascii="微软雅黑" w:hAnsi="微软雅黑" w:eastAsia="微软雅黑" w:cs="微软雅黑"/>
          <w:color w:val="333333"/>
          <w:sz w:val="24"/>
        </w:rPr>
      </w:pPr>
      <w:r>
        <w:rPr>
          <w:rFonts w:ascii="仿宋_GB2312" w:hAnsi="微软雅黑" w:eastAsia="仿宋_GB2312" w:cs="仿宋_GB2312"/>
          <w:color w:val="333333"/>
          <w:kern w:val="0"/>
          <w:sz w:val="32"/>
          <w:szCs w:val="32"/>
          <w:shd w:val="clear" w:color="auto" w:fill="FFFFFF"/>
        </w:rPr>
        <w:t>8、年末结转和结余：指单位按有关规定结转到下年或以后年度继续使用的资金。</w:t>
      </w:r>
    </w:p>
    <w:p>
      <w:pPr>
        <w:pStyle w:val="14"/>
        <w:widowControl/>
        <w:shd w:val="clear" w:color="auto" w:fill="FFFFFF"/>
        <w:spacing w:after="150" w:line="560" w:lineRule="atLeast"/>
        <w:ind w:firstLine="632"/>
        <w:rPr>
          <w:rFonts w:ascii="微软雅黑" w:hAnsi="微软雅黑" w:eastAsia="微软雅黑" w:cs="微软雅黑"/>
          <w:color w:val="333333"/>
        </w:rPr>
      </w:pPr>
      <w:r>
        <w:rPr>
          <w:rFonts w:ascii="仿宋_GB2312" w:hAnsi="微软雅黑" w:eastAsia="仿宋_GB2312" w:cs="仿宋_GB2312"/>
          <w:color w:val="333333"/>
          <w:sz w:val="32"/>
          <w:szCs w:val="32"/>
          <w:shd w:val="clear" w:color="auto" w:fill="FFFFFF"/>
        </w:rPr>
        <w:t>９.社会保障和就业支出（类）行政事业单位养老支出（款）机关事业单位基本养老保险缴费支出（项）：指用于在职职工养老保险支出。</w:t>
      </w:r>
    </w:p>
    <w:p>
      <w:pPr>
        <w:pStyle w:val="14"/>
        <w:widowControl/>
        <w:shd w:val="clear" w:color="auto" w:fill="FFFFFF"/>
        <w:spacing w:after="150" w:line="600" w:lineRule="atLeast"/>
        <w:ind w:firstLine="632"/>
        <w:rPr>
          <w:rFonts w:ascii="微软雅黑" w:hAnsi="微软雅黑" w:eastAsia="微软雅黑" w:cs="微软雅黑"/>
          <w:color w:val="333333"/>
        </w:rPr>
      </w:pPr>
      <w:r>
        <w:rPr>
          <w:rFonts w:ascii="仿宋_GB2312" w:hAnsi="微软雅黑" w:eastAsia="仿宋_GB2312" w:cs="仿宋_GB2312"/>
          <w:color w:val="333333"/>
          <w:sz w:val="32"/>
          <w:szCs w:val="32"/>
          <w:shd w:val="clear" w:color="auto" w:fill="FFFFFF"/>
        </w:rPr>
        <w:t>10.卫生健康支出（类）行政事业单位医疗（款）事业单位医疗（项）：指用于事业单位在职职工的医疗保险支出。</w:t>
      </w:r>
    </w:p>
    <w:p>
      <w:pPr>
        <w:pStyle w:val="14"/>
        <w:widowControl/>
        <w:shd w:val="clear" w:color="auto" w:fill="FFFFFF"/>
        <w:spacing w:after="150" w:line="560" w:lineRule="atLeast"/>
        <w:ind w:firstLine="632"/>
        <w:rPr>
          <w:rFonts w:ascii="微软雅黑" w:hAnsi="微软雅黑" w:eastAsia="微软雅黑" w:cs="微软雅黑"/>
          <w:color w:val="333333"/>
        </w:rPr>
      </w:pPr>
      <w:r>
        <w:rPr>
          <w:rFonts w:ascii="仿宋_GB2312" w:hAnsi="微软雅黑" w:eastAsia="仿宋_GB2312" w:cs="仿宋_GB2312"/>
          <w:color w:val="333333"/>
          <w:sz w:val="32"/>
          <w:szCs w:val="32"/>
          <w:shd w:val="clear" w:color="auto" w:fill="FFFFFF"/>
        </w:rPr>
        <w:t>11.住房保障支出（类）住房改革支出（款）住房公积金（项）：指用于行政事业单位职工缴纳住房公积金</w:t>
      </w:r>
      <w:r>
        <w:rPr>
          <w:rFonts w:ascii="微软雅黑" w:hAnsi="微软雅黑" w:eastAsia="微软雅黑" w:cs="微软雅黑"/>
          <w:color w:val="333333"/>
          <w:sz w:val="32"/>
          <w:szCs w:val="32"/>
          <w:shd w:val="clear" w:color="auto" w:fill="FFFFFF"/>
        </w:rPr>
        <w:t>。</w:t>
      </w:r>
    </w:p>
    <w:p>
      <w:pPr>
        <w:pStyle w:val="14"/>
        <w:widowControl/>
        <w:shd w:val="clear" w:color="auto" w:fill="FFFFFF"/>
        <w:spacing w:after="150" w:line="600" w:lineRule="atLeast"/>
        <w:ind w:firstLine="632"/>
        <w:rPr>
          <w:rFonts w:ascii="微软雅黑" w:hAnsi="微软雅黑" w:eastAsia="微软雅黑" w:cs="微软雅黑"/>
          <w:color w:val="333333"/>
        </w:rPr>
      </w:pPr>
      <w:r>
        <w:rPr>
          <w:rFonts w:ascii="仿宋_GB2312" w:hAnsi="微软雅黑" w:eastAsia="仿宋_GB2312" w:cs="仿宋_GB2312"/>
          <w:color w:val="333333"/>
          <w:sz w:val="32"/>
          <w:szCs w:val="32"/>
          <w:shd w:val="clear" w:color="auto" w:fill="FFFFFF"/>
        </w:rPr>
        <w:t>1</w:t>
      </w:r>
      <w:r>
        <w:rPr>
          <w:rFonts w:hint="eastAsia" w:ascii="仿宋_GB2312" w:hAnsi="微软雅黑" w:eastAsia="仿宋_GB2312" w:cs="仿宋_GB2312"/>
          <w:color w:val="333333"/>
          <w:sz w:val="32"/>
          <w:szCs w:val="32"/>
          <w:shd w:val="clear" w:color="auto" w:fill="FFFFFF"/>
        </w:rPr>
        <w:t>2</w:t>
      </w:r>
      <w:r>
        <w:rPr>
          <w:rFonts w:ascii="仿宋_GB2312" w:hAnsi="微软雅黑" w:eastAsia="仿宋_GB2312" w:cs="仿宋_GB2312"/>
          <w:color w:val="333333"/>
          <w:sz w:val="32"/>
          <w:szCs w:val="32"/>
          <w:shd w:val="clear" w:color="auto" w:fill="FFFFFF"/>
        </w:rPr>
        <w:t>.灾害防治及应急管理支出（类）应急管理事务（款）事业运行（项）：指用于单位人员工资福利支出、日常运转等工作经费。</w:t>
      </w:r>
    </w:p>
    <w:p>
      <w:pPr>
        <w:widowControl/>
        <w:shd w:val="clear" w:color="auto" w:fill="FFFFFF"/>
        <w:spacing w:after="150"/>
        <w:ind w:firstLine="640"/>
        <w:jc w:val="left"/>
        <w:rPr>
          <w:rFonts w:ascii="微软雅黑" w:hAnsi="微软雅黑" w:eastAsia="微软雅黑" w:cs="微软雅黑"/>
          <w:color w:val="333333"/>
          <w:sz w:val="24"/>
        </w:rPr>
      </w:pPr>
      <w:r>
        <w:rPr>
          <w:rFonts w:ascii="仿宋_GB2312" w:hAnsi="微软雅黑" w:eastAsia="仿宋_GB2312" w:cs="仿宋_GB2312"/>
          <w:color w:val="333333"/>
          <w:kern w:val="0"/>
          <w:sz w:val="32"/>
          <w:szCs w:val="32"/>
          <w:shd w:val="clear" w:color="auto" w:fill="FFFFFF"/>
        </w:rPr>
        <w:t>1</w:t>
      </w:r>
      <w:r>
        <w:rPr>
          <w:rFonts w:hint="eastAsia" w:ascii="仿宋_GB2312" w:hAnsi="微软雅黑" w:eastAsia="仿宋_GB2312" w:cs="仿宋_GB2312"/>
          <w:color w:val="333333"/>
          <w:kern w:val="0"/>
          <w:sz w:val="32"/>
          <w:szCs w:val="32"/>
          <w:shd w:val="clear" w:color="auto" w:fill="FFFFFF"/>
        </w:rPr>
        <w:t>3</w:t>
      </w:r>
      <w:r>
        <w:rPr>
          <w:rFonts w:ascii="仿宋_GB2312" w:hAnsi="微软雅黑" w:eastAsia="仿宋_GB2312" w:cs="仿宋_GB2312"/>
          <w:color w:val="333333"/>
          <w:kern w:val="0"/>
          <w:sz w:val="32"/>
          <w:szCs w:val="32"/>
          <w:shd w:val="clear" w:color="auto" w:fill="FFFFFF"/>
        </w:rPr>
        <w:t>.灾害防治及应急管理支出（类）应急管理事务（款）其他应急管理事项（项）：指政府用于自然灾害防治、安全生产监管及应急管理等方面中的其他应急管理方面的支出。</w:t>
      </w:r>
    </w:p>
    <w:p>
      <w:pPr>
        <w:widowControl/>
        <w:shd w:val="clear" w:color="auto" w:fill="FFFFFF"/>
        <w:spacing w:after="150"/>
        <w:ind w:firstLine="640"/>
        <w:jc w:val="left"/>
        <w:rPr>
          <w:rFonts w:ascii="微软雅黑" w:hAnsi="微软雅黑" w:eastAsia="微软雅黑" w:cs="微软雅黑"/>
          <w:color w:val="333333"/>
          <w:sz w:val="24"/>
        </w:rPr>
      </w:pPr>
      <w:r>
        <w:rPr>
          <w:rFonts w:ascii="仿宋_GB2312" w:hAnsi="微软雅黑" w:eastAsia="仿宋_GB2312" w:cs="仿宋_GB2312"/>
          <w:color w:val="333333"/>
          <w:kern w:val="0"/>
          <w:sz w:val="32"/>
          <w:szCs w:val="32"/>
          <w:shd w:val="clear" w:color="auto" w:fill="FFFFFF"/>
        </w:rPr>
        <w:t>1</w:t>
      </w:r>
      <w:r>
        <w:rPr>
          <w:rFonts w:hint="eastAsia" w:ascii="仿宋_GB2312" w:hAnsi="微软雅黑" w:eastAsia="仿宋_GB2312" w:cs="仿宋_GB2312"/>
          <w:color w:val="333333"/>
          <w:kern w:val="0"/>
          <w:sz w:val="32"/>
          <w:szCs w:val="32"/>
          <w:shd w:val="clear" w:color="auto" w:fill="FFFFFF"/>
        </w:rPr>
        <w:t>4</w:t>
      </w:r>
      <w:r>
        <w:rPr>
          <w:rFonts w:ascii="仿宋_GB2312" w:hAnsi="微软雅黑" w:eastAsia="仿宋_GB2312" w:cs="仿宋_GB2312"/>
          <w:color w:val="333333"/>
          <w:kern w:val="0"/>
          <w:sz w:val="32"/>
          <w:szCs w:val="32"/>
          <w:shd w:val="clear" w:color="auto" w:fill="FFFFFF"/>
        </w:rPr>
        <w:t>.基本支出：指为保障机构正常运转、完成日常工作任务而发生的人员支出和公用支出。</w:t>
      </w:r>
    </w:p>
    <w:p>
      <w:pPr>
        <w:widowControl/>
        <w:shd w:val="clear" w:color="auto" w:fill="FFFFFF"/>
        <w:spacing w:after="150"/>
        <w:ind w:firstLine="640"/>
        <w:jc w:val="left"/>
        <w:rPr>
          <w:rFonts w:ascii="微软雅黑" w:hAnsi="微软雅黑" w:eastAsia="微软雅黑" w:cs="微软雅黑"/>
          <w:color w:val="333333"/>
          <w:sz w:val="24"/>
        </w:rPr>
      </w:pPr>
      <w:r>
        <w:rPr>
          <w:rFonts w:ascii="仿宋_GB2312" w:hAnsi="微软雅黑" w:eastAsia="仿宋_GB2312" w:cs="仿宋_GB2312"/>
          <w:color w:val="333333"/>
          <w:kern w:val="0"/>
          <w:sz w:val="32"/>
          <w:szCs w:val="32"/>
          <w:shd w:val="clear" w:color="auto" w:fill="FFFFFF"/>
        </w:rPr>
        <w:t>1</w:t>
      </w:r>
      <w:r>
        <w:rPr>
          <w:rFonts w:hint="eastAsia" w:ascii="仿宋_GB2312" w:hAnsi="微软雅黑" w:eastAsia="仿宋_GB2312" w:cs="仿宋_GB2312"/>
          <w:color w:val="333333"/>
          <w:kern w:val="0"/>
          <w:sz w:val="32"/>
          <w:szCs w:val="32"/>
          <w:shd w:val="clear" w:color="auto" w:fill="FFFFFF"/>
        </w:rPr>
        <w:t>5</w:t>
      </w:r>
      <w:r>
        <w:rPr>
          <w:rFonts w:ascii="仿宋_GB2312" w:hAnsi="微软雅黑" w:eastAsia="仿宋_GB2312" w:cs="仿宋_GB2312"/>
          <w:color w:val="333333"/>
          <w:kern w:val="0"/>
          <w:sz w:val="32"/>
          <w:szCs w:val="32"/>
          <w:shd w:val="clear" w:color="auto" w:fill="FFFFFF"/>
        </w:rPr>
        <w:t>.项目支出：指在基本支出之外为完成特定行政任务和事业发展目标所发生的支出。</w:t>
      </w:r>
    </w:p>
    <w:p>
      <w:pPr>
        <w:widowControl/>
        <w:shd w:val="clear" w:color="auto" w:fill="FFFFFF"/>
        <w:spacing w:after="150"/>
        <w:ind w:firstLine="640"/>
        <w:jc w:val="left"/>
        <w:rPr>
          <w:rFonts w:ascii="微软雅黑" w:hAnsi="微软雅黑" w:eastAsia="微软雅黑" w:cs="微软雅黑"/>
          <w:color w:val="333333"/>
          <w:sz w:val="24"/>
        </w:rPr>
      </w:pPr>
      <w:r>
        <w:rPr>
          <w:rFonts w:ascii="仿宋_GB2312" w:hAnsi="微软雅黑" w:eastAsia="仿宋_GB2312" w:cs="仿宋_GB2312"/>
          <w:color w:val="333333"/>
          <w:kern w:val="0"/>
          <w:sz w:val="32"/>
          <w:szCs w:val="32"/>
          <w:shd w:val="clear" w:color="auto" w:fill="FFFFFF"/>
        </w:rPr>
        <w:t>1</w:t>
      </w:r>
      <w:r>
        <w:rPr>
          <w:rFonts w:hint="eastAsia" w:ascii="仿宋_GB2312" w:hAnsi="微软雅黑" w:eastAsia="仿宋_GB2312" w:cs="仿宋_GB2312"/>
          <w:color w:val="333333"/>
          <w:kern w:val="0"/>
          <w:sz w:val="32"/>
          <w:szCs w:val="32"/>
          <w:shd w:val="clear" w:color="auto" w:fill="FFFFFF"/>
        </w:rPr>
        <w:t>6.</w:t>
      </w:r>
      <w:r>
        <w:rPr>
          <w:rFonts w:ascii="仿宋_GB2312" w:hAnsi="微软雅黑" w:eastAsia="仿宋_GB2312" w:cs="仿宋_GB2312"/>
          <w:color w:val="333333"/>
          <w:kern w:val="0"/>
          <w:sz w:val="32"/>
          <w:szCs w:val="32"/>
          <w:shd w:val="clear" w:color="auto" w:fill="FFFFFF"/>
        </w:rPr>
        <w:t>经营支出：指事业单位在专业业务活动及其辅助活动之外开展非独立核算经营活动发生的支出。</w:t>
      </w:r>
    </w:p>
    <w:p>
      <w:pPr>
        <w:widowControl/>
        <w:shd w:val="clear" w:color="auto" w:fill="FFFFFF"/>
        <w:spacing w:after="150" w:line="560" w:lineRule="atLeast"/>
        <w:ind w:firstLine="640"/>
        <w:jc w:val="left"/>
        <w:rPr>
          <w:rFonts w:ascii="微软雅黑" w:hAnsi="微软雅黑" w:eastAsia="微软雅黑" w:cs="微软雅黑"/>
          <w:color w:val="333333"/>
          <w:sz w:val="24"/>
        </w:rPr>
      </w:pPr>
      <w:r>
        <w:rPr>
          <w:rFonts w:ascii="仿宋_GB2312" w:hAnsi="微软雅黑" w:eastAsia="仿宋_GB2312" w:cs="仿宋_GB2312"/>
          <w:color w:val="333333"/>
          <w:kern w:val="0"/>
          <w:sz w:val="32"/>
          <w:szCs w:val="32"/>
          <w:shd w:val="clear" w:color="auto" w:fill="FFFFFF"/>
        </w:rPr>
        <w:t>1</w:t>
      </w:r>
      <w:r>
        <w:rPr>
          <w:rFonts w:hint="eastAsia" w:ascii="仿宋_GB2312" w:hAnsi="微软雅黑" w:eastAsia="仿宋_GB2312" w:cs="仿宋_GB2312"/>
          <w:color w:val="333333"/>
          <w:kern w:val="0"/>
          <w:sz w:val="32"/>
          <w:szCs w:val="32"/>
          <w:shd w:val="clear" w:color="auto" w:fill="FFFFFF"/>
        </w:rPr>
        <w:t>7.</w:t>
      </w:r>
      <w:r>
        <w:rPr>
          <w:rFonts w:ascii="仿宋_GB2312" w:hAnsi="微软雅黑" w:eastAsia="仿宋_GB2312" w:cs="仿宋_GB2312"/>
          <w:color w:val="333333"/>
          <w:kern w:val="0"/>
          <w:sz w:val="32"/>
          <w:szCs w:val="32"/>
          <w:shd w:val="clear" w:color="auto" w:fill="FFFFFF"/>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widowControl/>
        <w:shd w:val="clear" w:color="auto" w:fill="FFFFFF"/>
        <w:spacing w:after="150" w:line="578" w:lineRule="exact"/>
        <w:ind w:firstLine="641"/>
        <w:jc w:val="left"/>
        <w:rPr>
          <w:rFonts w:ascii="微软雅黑" w:hAnsi="微软雅黑" w:eastAsia="微软雅黑" w:cs="微软雅黑"/>
          <w:color w:val="333333"/>
          <w:sz w:val="24"/>
        </w:rPr>
      </w:pPr>
      <w:r>
        <w:rPr>
          <w:rFonts w:ascii="仿宋_GB2312" w:hAnsi="微软雅黑" w:eastAsia="仿宋_GB2312" w:cs="仿宋_GB2312"/>
          <w:color w:val="333333"/>
          <w:kern w:val="0"/>
          <w:sz w:val="32"/>
          <w:szCs w:val="32"/>
          <w:shd w:val="clear" w:color="auto" w:fill="FFFFFF"/>
        </w:rPr>
        <w:t>1</w:t>
      </w:r>
      <w:r>
        <w:rPr>
          <w:rFonts w:hint="eastAsia" w:ascii="仿宋_GB2312" w:hAnsi="微软雅黑" w:eastAsia="仿宋_GB2312" w:cs="仿宋_GB2312"/>
          <w:color w:val="333333"/>
          <w:kern w:val="0"/>
          <w:sz w:val="32"/>
          <w:szCs w:val="32"/>
          <w:shd w:val="clear" w:color="auto" w:fill="FFFFFF"/>
        </w:rPr>
        <w:t>8.</w:t>
      </w:r>
      <w:r>
        <w:rPr>
          <w:rFonts w:ascii="仿宋_GB2312" w:hAnsi="微软雅黑" w:eastAsia="仿宋_GB2312" w:cs="仿宋_GB2312"/>
          <w:color w:val="333333"/>
          <w:kern w:val="0"/>
          <w:sz w:val="32"/>
          <w:szCs w:val="32"/>
          <w:shd w:val="clear" w:color="auto" w:fill="FFFFFF"/>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7"/>
          <w:rFonts w:ascii="黑体" w:hAnsi="黑体" w:eastAsia="黑体"/>
          <w:b w:val="0"/>
        </w:rPr>
      </w:pPr>
      <w:bookmarkStart w:id="85" w:name="_Toc15377226"/>
      <w:r>
        <w:rPr>
          <w:rFonts w:ascii="宋体"/>
          <w:b/>
          <w:sz w:val="44"/>
          <w:szCs w:val="44"/>
        </w:rPr>
        <w:br w:type="page"/>
      </w:r>
      <w:bookmarkStart w:id="86" w:name="_Toc15396614"/>
      <w:bookmarkStart w:id="87" w:name="_Toc32309"/>
      <w:r>
        <w:rPr>
          <w:rFonts w:hint="eastAsia" w:ascii="黑体" w:hAnsi="黑体" w:eastAsia="黑体"/>
          <w:sz w:val="44"/>
          <w:szCs w:val="44"/>
        </w:rPr>
        <w:t>第</w:t>
      </w:r>
      <w:r>
        <w:rPr>
          <w:rStyle w:val="27"/>
          <w:rFonts w:hint="eastAsia" w:ascii="黑体" w:hAnsi="黑体" w:eastAsia="黑体"/>
          <w:b w:val="0"/>
        </w:rPr>
        <w:t>四部分 附件</w:t>
      </w:r>
      <w:bookmarkEnd w:id="86"/>
      <w:bookmarkEnd w:id="87"/>
    </w:p>
    <w:p>
      <w:pPr>
        <w:spacing w:line="620" w:lineRule="exact"/>
        <w:jc w:val="center"/>
        <w:rPr>
          <w:rFonts w:eastAsia="黑体"/>
          <w:color w:val="000000"/>
          <w:kern w:val="0"/>
          <w:sz w:val="24"/>
          <w:shd w:val="clear" w:color="auto" w:fill="FFFFFF"/>
        </w:rPr>
      </w:pPr>
      <w:r>
        <w:rPr>
          <w:rFonts w:eastAsia="方正小标宋简体"/>
          <w:sz w:val="44"/>
          <w:szCs w:val="44"/>
          <w:shd w:val="clear" w:color="auto" w:fill="FFFFFF"/>
        </w:rPr>
        <w:t>部门整体支出绩效</w:t>
      </w:r>
      <w:r>
        <w:rPr>
          <w:rFonts w:hint="eastAsia" w:eastAsia="方正小标宋简体"/>
          <w:sz w:val="44"/>
          <w:szCs w:val="44"/>
          <w:shd w:val="clear" w:color="auto" w:fill="FFFFFF"/>
        </w:rPr>
        <w:t>自评</w:t>
      </w:r>
      <w:r>
        <w:rPr>
          <w:rFonts w:eastAsia="方正小标宋简体"/>
          <w:sz w:val="44"/>
          <w:szCs w:val="44"/>
          <w:shd w:val="clear" w:color="auto" w:fill="FFFFFF"/>
        </w:rPr>
        <w:t>报告</w:t>
      </w:r>
    </w:p>
    <w:p>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rPr>
        <w:t>一、</w:t>
      </w:r>
      <w:r>
        <w:rPr>
          <w:rFonts w:eastAsia="黑体"/>
          <w:color w:val="000000"/>
          <w:kern w:val="0"/>
          <w:sz w:val="32"/>
          <w:szCs w:val="32"/>
          <w:shd w:val="clear" w:color="auto" w:fill="FFFFFF"/>
          <w:lang w:val="zh-CN"/>
        </w:rPr>
        <w:t>部门（单位）概况</w:t>
      </w:r>
    </w:p>
    <w:p>
      <w:pPr>
        <w:widowControl/>
        <w:adjustRightInd w:val="0"/>
        <w:snapToGrid w:val="0"/>
        <w:spacing w:line="578" w:lineRule="exact"/>
        <w:ind w:firstLine="643" w:firstLineChars="200"/>
        <w:contextualSpacing/>
        <w:jc w:val="left"/>
        <w:rPr>
          <w:rStyle w:val="18"/>
          <w:rFonts w:ascii="楷体_GB2312" w:hAnsi="sans-serif" w:eastAsia="楷体_GB2312" w:cs="楷体_GB2312"/>
          <w:color w:val="000000"/>
          <w:kern w:val="0"/>
          <w:sz w:val="32"/>
          <w:szCs w:val="32"/>
          <w:lang w:val="zh-CN"/>
        </w:rPr>
      </w:pPr>
      <w:r>
        <w:rPr>
          <w:rStyle w:val="18"/>
          <w:rFonts w:hint="eastAsia" w:ascii="楷体_GB2312" w:hAnsi="sans-serif" w:eastAsia="楷体_GB2312" w:cs="楷体_GB2312"/>
          <w:color w:val="000000"/>
          <w:kern w:val="0"/>
          <w:sz w:val="32"/>
          <w:szCs w:val="32"/>
          <w:lang w:val="zh-CN"/>
        </w:rPr>
        <w:t>（一）机构组成。</w:t>
      </w:r>
    </w:p>
    <w:p>
      <w:pPr>
        <w:ind w:firstLine="640" w:firstLineChars="200"/>
        <w:rPr>
          <w:rFonts w:ascii="仿宋_GB2312" w:hAnsi="仿宋" w:eastAsia="仿宋_GB2312"/>
          <w:kern w:val="0"/>
          <w:sz w:val="32"/>
          <w:szCs w:val="32"/>
        </w:rPr>
      </w:pPr>
      <w:r>
        <w:rPr>
          <w:rFonts w:hint="eastAsia" w:ascii="仿宋_GB2312" w:hAnsi="微软雅黑" w:eastAsia="仿宋_GB2312" w:cs="仿宋_GB2312"/>
          <w:color w:val="333333"/>
          <w:kern w:val="0"/>
          <w:sz w:val="32"/>
          <w:szCs w:val="32"/>
          <w:shd w:val="clear" w:color="auto" w:fill="FFFFFF"/>
        </w:rPr>
        <w:t>遂宁市减灾中心（简称减灾中心）为遂宁市应急管理局</w:t>
      </w:r>
      <w:r>
        <w:rPr>
          <w:rFonts w:hint="eastAsia" w:ascii="仿宋_GB2312" w:hAnsi="仿宋" w:eastAsia="仿宋_GB2312"/>
          <w:color w:val="000000" w:themeColor="text1"/>
          <w:kern w:val="0"/>
          <w:sz w:val="32"/>
          <w:szCs w:val="32"/>
        </w:rPr>
        <w:t>直属公益一类事业单位。</w:t>
      </w:r>
    </w:p>
    <w:p>
      <w:pPr>
        <w:widowControl/>
        <w:adjustRightInd w:val="0"/>
        <w:snapToGrid w:val="0"/>
        <w:spacing w:line="578" w:lineRule="exact"/>
        <w:ind w:firstLine="643" w:firstLineChars="200"/>
        <w:contextualSpacing/>
        <w:jc w:val="left"/>
        <w:rPr>
          <w:rStyle w:val="18"/>
          <w:rFonts w:ascii="楷体_GB2312" w:hAnsi="sans-serif" w:eastAsia="楷体_GB2312" w:cs="楷体_GB2312"/>
          <w:color w:val="000000"/>
          <w:kern w:val="0"/>
          <w:sz w:val="32"/>
          <w:szCs w:val="32"/>
          <w:lang w:val="zh-CN"/>
        </w:rPr>
      </w:pPr>
      <w:r>
        <w:rPr>
          <w:rStyle w:val="18"/>
          <w:rFonts w:hint="eastAsia" w:ascii="楷体_GB2312" w:hAnsi="sans-serif" w:eastAsia="楷体_GB2312" w:cs="楷体_GB2312"/>
          <w:color w:val="000000"/>
          <w:kern w:val="0"/>
          <w:sz w:val="32"/>
          <w:szCs w:val="32"/>
          <w:lang w:val="zh-CN"/>
        </w:rPr>
        <w:t>（二）机构职能。</w:t>
      </w:r>
    </w:p>
    <w:p>
      <w:pPr>
        <w:adjustRightInd w:val="0"/>
        <w:snapToGrid w:val="0"/>
        <w:spacing w:line="578" w:lineRule="exact"/>
        <w:ind w:firstLine="640" w:firstLineChars="200"/>
        <w:rPr>
          <w:lang w:val="zh-CN"/>
        </w:rPr>
      </w:pPr>
      <w:r>
        <w:rPr>
          <w:rFonts w:hint="eastAsia" w:ascii="仿宋_GB2312" w:hAnsi="仿宋" w:eastAsia="仿宋_GB2312"/>
          <w:sz w:val="32"/>
          <w:szCs w:val="32"/>
        </w:rPr>
        <w:t>主要承担避难场所日常管护，减灾社区创建事务性工作，协助核查评估灾情，减灾救灾宣传培训、对外交流等工作。</w:t>
      </w:r>
    </w:p>
    <w:p>
      <w:pPr>
        <w:widowControl/>
        <w:adjustRightInd w:val="0"/>
        <w:snapToGrid w:val="0"/>
        <w:spacing w:line="578" w:lineRule="exact"/>
        <w:ind w:firstLine="643" w:firstLineChars="200"/>
        <w:contextualSpacing/>
        <w:jc w:val="left"/>
        <w:rPr>
          <w:rStyle w:val="18"/>
          <w:rFonts w:ascii="楷体_GB2312" w:hAnsi="sans-serif" w:eastAsia="楷体_GB2312" w:cs="楷体_GB2312"/>
          <w:color w:val="000000"/>
          <w:kern w:val="0"/>
          <w:sz w:val="32"/>
          <w:szCs w:val="32"/>
          <w:lang w:val="zh-CN"/>
        </w:rPr>
      </w:pPr>
      <w:r>
        <w:rPr>
          <w:rStyle w:val="18"/>
          <w:rFonts w:hint="eastAsia" w:ascii="楷体_GB2312" w:hAnsi="sans-serif" w:eastAsia="楷体_GB2312" w:cs="楷体_GB2312"/>
          <w:color w:val="000000"/>
          <w:kern w:val="0"/>
          <w:sz w:val="32"/>
          <w:szCs w:val="32"/>
          <w:lang w:val="zh-CN"/>
        </w:rPr>
        <w:t>（三）人员概况。</w:t>
      </w:r>
    </w:p>
    <w:p>
      <w:pPr>
        <w:widowControl/>
        <w:shd w:val="clear" w:color="auto" w:fill="FFFFFF"/>
        <w:spacing w:after="150" w:line="578" w:lineRule="exact"/>
        <w:ind w:firstLine="640"/>
        <w:jc w:val="left"/>
        <w:rPr>
          <w:rFonts w:ascii="仿宋_GB2312" w:hAnsi="微软雅黑" w:eastAsia="仿宋_GB2312" w:cs="仿宋_GB2312"/>
          <w:color w:val="333333"/>
          <w:kern w:val="0"/>
          <w:sz w:val="32"/>
          <w:szCs w:val="32"/>
          <w:shd w:val="clear" w:color="auto" w:fill="FFFFFF"/>
          <w:lang w:val="zh-CN"/>
        </w:rPr>
      </w:pPr>
      <w:r>
        <w:rPr>
          <w:rFonts w:hint="eastAsia" w:ascii="仿宋_GB2312" w:hAnsi="微软雅黑" w:eastAsia="仿宋_GB2312" w:cs="仿宋_GB2312"/>
          <w:color w:val="333333"/>
          <w:kern w:val="0"/>
          <w:sz w:val="32"/>
          <w:szCs w:val="32"/>
          <w:shd w:val="clear" w:color="auto" w:fill="FFFFFF"/>
        </w:rPr>
        <w:t>核定编制9人，其中事业编制9人。实有人数11人，其中事业编制人员9人，临时聘用人员2人。</w:t>
      </w:r>
    </w:p>
    <w:p>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rPr>
      </w:pPr>
      <w:r>
        <w:rPr>
          <w:rFonts w:eastAsia="黑体"/>
          <w:color w:val="000000"/>
          <w:kern w:val="0"/>
          <w:sz w:val="32"/>
          <w:szCs w:val="32"/>
          <w:shd w:val="clear" w:color="auto" w:fill="FFFFFF"/>
        </w:rPr>
        <w:t>二、部门财政资金收支情况</w:t>
      </w:r>
    </w:p>
    <w:p>
      <w:pPr>
        <w:widowControl/>
        <w:adjustRightInd w:val="0"/>
        <w:snapToGrid w:val="0"/>
        <w:spacing w:line="620" w:lineRule="exact"/>
        <w:ind w:firstLine="643" w:firstLineChars="200"/>
        <w:contextualSpacing/>
        <w:jc w:val="left"/>
        <w:rPr>
          <w:rStyle w:val="18"/>
          <w:rFonts w:ascii="楷体_GB2312" w:hAnsi="sans-serif" w:eastAsia="楷体_GB2312" w:cs="楷体_GB2312"/>
          <w:color w:val="000000"/>
          <w:kern w:val="0"/>
          <w:sz w:val="32"/>
          <w:szCs w:val="32"/>
          <w:lang w:val="zh-CN"/>
        </w:rPr>
      </w:pPr>
      <w:r>
        <w:rPr>
          <w:rStyle w:val="18"/>
          <w:rFonts w:hint="eastAsia" w:ascii="楷体_GB2312" w:hAnsi="sans-serif" w:eastAsia="楷体_GB2312" w:cs="楷体_GB2312"/>
          <w:color w:val="000000"/>
          <w:kern w:val="0"/>
          <w:sz w:val="32"/>
          <w:szCs w:val="32"/>
          <w:lang w:val="zh-CN"/>
        </w:rPr>
        <w:t>（一）部门财政资金收入情况。</w:t>
      </w:r>
    </w:p>
    <w:p>
      <w:pPr>
        <w:widowControl/>
        <w:shd w:val="clear" w:color="auto" w:fill="FFFFFF"/>
        <w:spacing w:after="150" w:line="560" w:lineRule="atLeast"/>
        <w:ind w:firstLine="640"/>
        <w:jc w:val="left"/>
        <w:rPr>
          <w:rFonts w:ascii="仿宋_GB2312" w:hAnsi="微软雅黑" w:eastAsia="仿宋_GB2312" w:cs="仿宋_GB2312"/>
          <w:color w:val="333333"/>
          <w:kern w:val="0"/>
          <w:sz w:val="32"/>
          <w:szCs w:val="32"/>
          <w:shd w:val="clear" w:color="auto" w:fill="FFFFFF"/>
        </w:rPr>
      </w:pPr>
      <w:r>
        <w:rPr>
          <w:rFonts w:hint="eastAsia" w:ascii="仿宋_GB2312" w:hAnsi="微软雅黑" w:eastAsia="仿宋_GB2312" w:cs="仿宋_GB2312"/>
          <w:color w:val="333333"/>
          <w:kern w:val="0"/>
          <w:sz w:val="32"/>
          <w:szCs w:val="32"/>
          <w:shd w:val="clear" w:color="auto" w:fill="FFFFFF"/>
        </w:rPr>
        <w:t>2022年度，遂宁市减灾中心年初预算为143.63万元，其中年初财政拨款收入143.63万元，年初结转结余0.00万元，中期调整75.29万元，调整后预算收入总额为218.92万元。具体情况详见表2-1：</w:t>
      </w:r>
    </w:p>
    <w:p>
      <w:pPr>
        <w:widowControl/>
        <w:shd w:val="clear" w:color="auto" w:fill="FFFFFF"/>
        <w:spacing w:after="150" w:line="560" w:lineRule="atLeast"/>
        <w:ind w:firstLine="640"/>
        <w:jc w:val="center"/>
        <w:rPr>
          <w:rFonts w:ascii="仿宋_GB2312" w:hAnsi="微软雅黑" w:eastAsia="仿宋_GB2312" w:cs="仿宋_GB2312"/>
          <w:color w:val="333333"/>
          <w:kern w:val="0"/>
          <w:sz w:val="32"/>
          <w:szCs w:val="32"/>
          <w:shd w:val="clear" w:color="auto" w:fill="FFFFFF"/>
        </w:rPr>
      </w:pPr>
      <w:r>
        <w:rPr>
          <w:rFonts w:hint="eastAsia" w:ascii="仿宋_GB2312" w:hAnsi="微软雅黑" w:eastAsia="仿宋_GB2312" w:cs="仿宋_GB2312"/>
          <w:color w:val="333333"/>
          <w:kern w:val="0"/>
          <w:sz w:val="32"/>
          <w:szCs w:val="32"/>
          <w:shd w:val="clear" w:color="auto" w:fill="FFFFFF"/>
        </w:rPr>
        <w:t>表2-1年度预算表</w:t>
      </w:r>
    </w:p>
    <w:p>
      <w:pPr>
        <w:spacing w:line="579" w:lineRule="exact"/>
        <w:ind w:firstLine="420" w:firstLineChars="200"/>
        <w:jc w:val="right"/>
        <w:rPr>
          <w:rFonts w:ascii="仿宋_GB2312" w:hAnsi="仿宋" w:cs="华文仿宋"/>
          <w:szCs w:val="32"/>
        </w:rPr>
      </w:pPr>
      <w:r>
        <w:rPr>
          <w:rFonts w:hint="eastAsia" w:ascii="仿宋_GB2312" w:hAnsi="仿宋" w:cs="华文仿宋"/>
          <w:szCs w:val="32"/>
        </w:rPr>
        <w:t>单位：万元</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2142"/>
        <w:gridCol w:w="2127"/>
        <w:gridCol w:w="2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pPr>
              <w:spacing w:line="579" w:lineRule="exact"/>
              <w:jc w:val="center"/>
              <w:rPr>
                <w:rFonts w:ascii="仿宋_GB2312" w:hAnsi="仿宋" w:cs="华文仿宋"/>
                <w:sz w:val="24"/>
              </w:rPr>
            </w:pPr>
            <w:r>
              <w:rPr>
                <w:rFonts w:hint="eastAsia" w:ascii="仿宋_GB2312" w:hAnsi="仿宋" w:cs="华文仿宋"/>
                <w:sz w:val="24"/>
              </w:rPr>
              <w:t>项目名称</w:t>
            </w:r>
          </w:p>
        </w:tc>
        <w:tc>
          <w:tcPr>
            <w:tcW w:w="2321" w:type="dxa"/>
          </w:tcPr>
          <w:p>
            <w:pPr>
              <w:spacing w:line="579" w:lineRule="exact"/>
              <w:jc w:val="center"/>
              <w:rPr>
                <w:rFonts w:ascii="仿宋_GB2312" w:hAnsi="仿宋" w:cs="华文仿宋"/>
                <w:sz w:val="24"/>
              </w:rPr>
            </w:pPr>
            <w:r>
              <w:rPr>
                <w:rFonts w:hint="eastAsia" w:ascii="仿宋_GB2312" w:hAnsi="仿宋" w:cs="华文仿宋"/>
                <w:sz w:val="24"/>
              </w:rPr>
              <w:t>年初预算</w:t>
            </w:r>
          </w:p>
        </w:tc>
        <w:tc>
          <w:tcPr>
            <w:tcW w:w="2322" w:type="dxa"/>
          </w:tcPr>
          <w:p>
            <w:pPr>
              <w:spacing w:line="579" w:lineRule="exact"/>
              <w:jc w:val="center"/>
              <w:rPr>
                <w:rFonts w:ascii="仿宋_GB2312" w:hAnsi="仿宋" w:cs="华文仿宋"/>
                <w:sz w:val="24"/>
              </w:rPr>
            </w:pPr>
            <w:r>
              <w:rPr>
                <w:rFonts w:hint="eastAsia" w:ascii="仿宋_GB2312" w:hAnsi="仿宋" w:cs="华文仿宋"/>
                <w:sz w:val="24"/>
              </w:rPr>
              <w:t>中期调整</w:t>
            </w:r>
          </w:p>
        </w:tc>
        <w:tc>
          <w:tcPr>
            <w:tcW w:w="2322" w:type="dxa"/>
          </w:tcPr>
          <w:p>
            <w:pPr>
              <w:spacing w:line="579" w:lineRule="exact"/>
              <w:jc w:val="center"/>
              <w:rPr>
                <w:rFonts w:ascii="仿宋_GB2312" w:hAnsi="仿宋" w:cs="华文仿宋"/>
                <w:sz w:val="24"/>
              </w:rPr>
            </w:pPr>
            <w:r>
              <w:rPr>
                <w:rFonts w:hint="eastAsia" w:ascii="仿宋_GB2312" w:hAnsi="仿宋" w:cs="华文仿宋"/>
                <w:sz w:val="24"/>
              </w:rPr>
              <w:t>年度总预算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pPr>
              <w:spacing w:line="579" w:lineRule="exact"/>
              <w:jc w:val="center"/>
              <w:rPr>
                <w:rFonts w:ascii="仿宋_GB2312" w:hAnsi="仿宋" w:cs="华文仿宋"/>
                <w:sz w:val="24"/>
              </w:rPr>
            </w:pPr>
            <w:r>
              <w:rPr>
                <w:rFonts w:hint="eastAsia" w:ascii="仿宋_GB2312" w:hAnsi="仿宋" w:cs="华文仿宋"/>
                <w:sz w:val="24"/>
              </w:rPr>
              <w:t>一、一般公共预算财政拨款收入</w:t>
            </w:r>
          </w:p>
        </w:tc>
        <w:tc>
          <w:tcPr>
            <w:tcW w:w="2321" w:type="dxa"/>
          </w:tcPr>
          <w:p>
            <w:pPr>
              <w:spacing w:line="579" w:lineRule="exact"/>
              <w:jc w:val="center"/>
              <w:rPr>
                <w:rFonts w:ascii="仿宋_GB2312" w:hAnsi="仿宋" w:cs="华文仿宋"/>
                <w:sz w:val="24"/>
              </w:rPr>
            </w:pPr>
            <w:r>
              <w:rPr>
                <w:rFonts w:hint="eastAsia" w:ascii="仿宋_GB2312" w:hAnsi="仿宋" w:cs="华文仿宋"/>
                <w:sz w:val="24"/>
              </w:rPr>
              <w:t>143.63</w:t>
            </w:r>
          </w:p>
        </w:tc>
        <w:tc>
          <w:tcPr>
            <w:tcW w:w="2322" w:type="dxa"/>
          </w:tcPr>
          <w:p>
            <w:pPr>
              <w:spacing w:line="579" w:lineRule="exact"/>
              <w:jc w:val="center"/>
              <w:rPr>
                <w:rFonts w:ascii="仿宋_GB2312" w:hAnsi="仿宋" w:cs="华文仿宋"/>
                <w:sz w:val="24"/>
              </w:rPr>
            </w:pPr>
            <w:r>
              <w:rPr>
                <w:rFonts w:hint="eastAsia" w:ascii="仿宋_GB2312" w:hAnsi="仿宋" w:cs="华文仿宋"/>
                <w:sz w:val="24"/>
              </w:rPr>
              <w:t>75.29</w:t>
            </w:r>
          </w:p>
        </w:tc>
        <w:tc>
          <w:tcPr>
            <w:tcW w:w="2322" w:type="dxa"/>
          </w:tcPr>
          <w:p>
            <w:pPr>
              <w:spacing w:line="579" w:lineRule="exact"/>
              <w:jc w:val="center"/>
              <w:rPr>
                <w:rFonts w:ascii="仿宋_GB2312" w:hAnsi="仿宋" w:cs="华文仿宋"/>
                <w:sz w:val="24"/>
              </w:rPr>
            </w:pPr>
            <w:r>
              <w:rPr>
                <w:rFonts w:hint="eastAsia" w:ascii="仿宋_GB2312" w:hAnsi="仿宋" w:cs="华文仿宋"/>
                <w:sz w:val="24"/>
              </w:rPr>
              <w:t>218.92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pPr>
              <w:spacing w:line="579" w:lineRule="exact"/>
              <w:jc w:val="center"/>
              <w:rPr>
                <w:rFonts w:ascii="仿宋_GB2312" w:hAnsi="仿宋" w:cs="华文仿宋"/>
                <w:sz w:val="24"/>
              </w:rPr>
            </w:pPr>
            <w:r>
              <w:rPr>
                <w:rFonts w:hint="eastAsia" w:ascii="仿宋_GB2312" w:hAnsi="仿宋" w:cs="华文仿宋"/>
                <w:sz w:val="24"/>
              </w:rPr>
              <w:t>二、其他收入</w:t>
            </w:r>
          </w:p>
        </w:tc>
        <w:tc>
          <w:tcPr>
            <w:tcW w:w="2321" w:type="dxa"/>
          </w:tcPr>
          <w:p>
            <w:pPr>
              <w:spacing w:line="579" w:lineRule="exact"/>
              <w:jc w:val="center"/>
              <w:rPr>
                <w:rFonts w:ascii="仿宋_GB2312" w:hAnsi="仿宋" w:cs="华文仿宋"/>
                <w:sz w:val="24"/>
              </w:rPr>
            </w:pPr>
            <w:r>
              <w:rPr>
                <w:rFonts w:hint="eastAsia" w:ascii="仿宋_GB2312" w:hAnsi="仿宋" w:cs="华文仿宋"/>
                <w:sz w:val="24"/>
              </w:rPr>
              <w:t>0.00</w:t>
            </w:r>
          </w:p>
        </w:tc>
        <w:tc>
          <w:tcPr>
            <w:tcW w:w="2322" w:type="dxa"/>
          </w:tcPr>
          <w:p>
            <w:pPr>
              <w:spacing w:line="579" w:lineRule="exact"/>
              <w:jc w:val="center"/>
              <w:rPr>
                <w:rFonts w:ascii="仿宋_GB2312" w:hAnsi="仿宋" w:cs="华文仿宋"/>
                <w:sz w:val="24"/>
              </w:rPr>
            </w:pPr>
            <w:r>
              <w:rPr>
                <w:rFonts w:hint="eastAsia" w:ascii="仿宋_GB2312" w:hAnsi="仿宋" w:cs="华文仿宋"/>
                <w:sz w:val="24"/>
              </w:rPr>
              <w:t>0.00</w:t>
            </w:r>
          </w:p>
        </w:tc>
        <w:tc>
          <w:tcPr>
            <w:tcW w:w="2322" w:type="dxa"/>
          </w:tcPr>
          <w:p>
            <w:pPr>
              <w:spacing w:line="579" w:lineRule="exact"/>
              <w:jc w:val="center"/>
              <w:rPr>
                <w:rFonts w:ascii="仿宋_GB2312" w:hAnsi="仿宋" w:cs="华文仿宋"/>
                <w:sz w:val="24"/>
              </w:rPr>
            </w:pPr>
            <w:r>
              <w:rPr>
                <w:rFonts w:hint="eastAsia" w:ascii="仿宋_GB2312" w:hAnsi="仿宋" w:cs="华文仿宋"/>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pPr>
              <w:spacing w:line="579" w:lineRule="exact"/>
              <w:jc w:val="center"/>
              <w:rPr>
                <w:rFonts w:ascii="仿宋_GB2312" w:hAnsi="仿宋" w:cs="华文仿宋"/>
                <w:sz w:val="24"/>
              </w:rPr>
            </w:pPr>
            <w:r>
              <w:rPr>
                <w:rFonts w:hint="eastAsia" w:ascii="仿宋_GB2312" w:hAnsi="仿宋" w:cs="华文仿宋"/>
                <w:sz w:val="24"/>
              </w:rPr>
              <w:t>年初结转结余</w:t>
            </w:r>
          </w:p>
        </w:tc>
        <w:tc>
          <w:tcPr>
            <w:tcW w:w="2321" w:type="dxa"/>
          </w:tcPr>
          <w:p>
            <w:pPr>
              <w:spacing w:line="579" w:lineRule="exact"/>
              <w:jc w:val="center"/>
              <w:rPr>
                <w:rFonts w:ascii="仿宋_GB2312" w:hAnsi="仿宋" w:cs="华文仿宋"/>
                <w:sz w:val="24"/>
              </w:rPr>
            </w:pPr>
            <w:r>
              <w:rPr>
                <w:rFonts w:hint="eastAsia" w:ascii="仿宋_GB2312" w:hAnsi="仿宋" w:cs="华文仿宋"/>
                <w:sz w:val="24"/>
              </w:rPr>
              <w:t>0</w:t>
            </w:r>
          </w:p>
        </w:tc>
        <w:tc>
          <w:tcPr>
            <w:tcW w:w="2322" w:type="dxa"/>
          </w:tcPr>
          <w:p>
            <w:pPr>
              <w:spacing w:line="579" w:lineRule="exact"/>
              <w:jc w:val="center"/>
              <w:rPr>
                <w:rFonts w:ascii="仿宋_GB2312" w:hAnsi="仿宋" w:cs="华文仿宋"/>
                <w:sz w:val="24"/>
              </w:rPr>
            </w:pPr>
            <w:r>
              <w:rPr>
                <w:rFonts w:hint="eastAsia" w:ascii="仿宋_GB2312" w:hAnsi="仿宋" w:cs="华文仿宋"/>
                <w:sz w:val="24"/>
              </w:rPr>
              <w:t>0</w:t>
            </w:r>
          </w:p>
        </w:tc>
        <w:tc>
          <w:tcPr>
            <w:tcW w:w="2322" w:type="dxa"/>
          </w:tcPr>
          <w:p>
            <w:pPr>
              <w:spacing w:line="579" w:lineRule="exact"/>
              <w:jc w:val="center"/>
              <w:rPr>
                <w:rFonts w:ascii="仿宋_GB2312" w:hAnsi="仿宋" w:cs="华文仿宋"/>
                <w:sz w:val="24"/>
              </w:rPr>
            </w:pPr>
            <w:r>
              <w:rPr>
                <w:rFonts w:hint="eastAsia" w:ascii="仿宋_GB2312" w:hAnsi="仿宋" w:cs="华文仿宋"/>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tcPr>
          <w:p>
            <w:pPr>
              <w:spacing w:line="579" w:lineRule="exact"/>
              <w:jc w:val="center"/>
              <w:rPr>
                <w:rFonts w:ascii="仿宋_GB2312" w:hAnsi="仿宋" w:cs="华文仿宋"/>
                <w:sz w:val="24"/>
              </w:rPr>
            </w:pPr>
            <w:r>
              <w:rPr>
                <w:rFonts w:hint="eastAsia" w:ascii="仿宋_GB2312" w:hAnsi="仿宋" w:cs="华文仿宋"/>
                <w:sz w:val="24"/>
              </w:rPr>
              <w:t>总计</w:t>
            </w:r>
          </w:p>
        </w:tc>
        <w:tc>
          <w:tcPr>
            <w:tcW w:w="2321" w:type="dxa"/>
          </w:tcPr>
          <w:p>
            <w:pPr>
              <w:spacing w:line="579" w:lineRule="exact"/>
              <w:jc w:val="center"/>
              <w:rPr>
                <w:rFonts w:ascii="仿宋_GB2312" w:hAnsi="仿宋" w:cs="华文仿宋"/>
                <w:sz w:val="24"/>
              </w:rPr>
            </w:pPr>
            <w:r>
              <w:rPr>
                <w:rFonts w:hint="eastAsia" w:ascii="仿宋_GB2312" w:hAnsi="仿宋" w:cs="华文仿宋"/>
                <w:sz w:val="24"/>
              </w:rPr>
              <w:t>143.63</w:t>
            </w:r>
          </w:p>
        </w:tc>
        <w:tc>
          <w:tcPr>
            <w:tcW w:w="2322" w:type="dxa"/>
          </w:tcPr>
          <w:p>
            <w:pPr>
              <w:spacing w:line="579" w:lineRule="exact"/>
              <w:jc w:val="center"/>
              <w:rPr>
                <w:rFonts w:ascii="仿宋_GB2312" w:hAnsi="仿宋" w:cs="华文仿宋"/>
                <w:sz w:val="24"/>
              </w:rPr>
            </w:pPr>
            <w:r>
              <w:rPr>
                <w:rFonts w:hint="eastAsia" w:ascii="仿宋_GB2312" w:hAnsi="仿宋" w:cs="华文仿宋"/>
                <w:sz w:val="24"/>
              </w:rPr>
              <w:t>75.29</w:t>
            </w:r>
          </w:p>
        </w:tc>
        <w:tc>
          <w:tcPr>
            <w:tcW w:w="2322" w:type="dxa"/>
          </w:tcPr>
          <w:p>
            <w:pPr>
              <w:spacing w:line="579" w:lineRule="exact"/>
              <w:jc w:val="center"/>
              <w:rPr>
                <w:rFonts w:ascii="仿宋_GB2312" w:hAnsi="仿宋" w:cs="华文仿宋"/>
                <w:sz w:val="24"/>
              </w:rPr>
            </w:pPr>
            <w:r>
              <w:rPr>
                <w:rFonts w:hint="eastAsia" w:ascii="仿宋_GB2312" w:hAnsi="仿宋" w:cs="华文仿宋"/>
                <w:sz w:val="24"/>
              </w:rPr>
              <w:t>218.92</w:t>
            </w:r>
          </w:p>
        </w:tc>
      </w:tr>
    </w:tbl>
    <w:p>
      <w:pPr>
        <w:widowControl/>
        <w:adjustRightInd w:val="0"/>
        <w:snapToGrid w:val="0"/>
        <w:spacing w:line="620" w:lineRule="exact"/>
        <w:ind w:firstLine="643" w:firstLineChars="200"/>
        <w:contextualSpacing/>
        <w:jc w:val="left"/>
        <w:rPr>
          <w:rStyle w:val="18"/>
          <w:rFonts w:ascii="楷体_GB2312" w:hAnsi="sans-serif" w:eastAsia="楷体_GB2312" w:cs="楷体_GB2312"/>
          <w:color w:val="000000"/>
          <w:kern w:val="0"/>
          <w:sz w:val="32"/>
          <w:szCs w:val="32"/>
          <w:lang w:val="zh-CN"/>
        </w:rPr>
      </w:pPr>
      <w:r>
        <w:rPr>
          <w:rStyle w:val="18"/>
          <w:rFonts w:hint="eastAsia" w:ascii="楷体_GB2312" w:hAnsi="sans-serif" w:eastAsia="楷体_GB2312" w:cs="楷体_GB2312"/>
          <w:color w:val="000000"/>
          <w:kern w:val="0"/>
          <w:sz w:val="32"/>
          <w:szCs w:val="32"/>
          <w:lang w:val="zh-CN"/>
        </w:rPr>
        <w:t>（二）部门财政资金支出情况。</w:t>
      </w:r>
    </w:p>
    <w:p>
      <w:pPr>
        <w:widowControl/>
        <w:shd w:val="clear" w:color="auto" w:fill="FFFFFF"/>
        <w:spacing w:after="150" w:line="560" w:lineRule="atLeast"/>
        <w:ind w:firstLine="640"/>
        <w:jc w:val="left"/>
        <w:rPr>
          <w:rFonts w:ascii="仿宋_GB2312" w:hAnsi="微软雅黑" w:eastAsia="仿宋_GB2312" w:cs="仿宋_GB2312"/>
          <w:color w:val="333333"/>
          <w:kern w:val="0"/>
          <w:sz w:val="32"/>
          <w:szCs w:val="32"/>
          <w:shd w:val="clear" w:color="auto" w:fill="FFFFFF"/>
        </w:rPr>
      </w:pPr>
      <w:r>
        <w:rPr>
          <w:rFonts w:hint="eastAsia" w:ascii="仿宋_GB2312" w:hAnsi="微软雅黑" w:eastAsia="仿宋_GB2312" w:cs="仿宋_GB2312"/>
          <w:color w:val="333333"/>
          <w:kern w:val="0"/>
          <w:sz w:val="32"/>
          <w:szCs w:val="32"/>
          <w:shd w:val="clear" w:color="auto" w:fill="FFFFFF"/>
        </w:rPr>
        <w:t>2022年度，遂宁市减灾中心财政支出年初预算为143.63万元，中期调整为75.29万元，调整后预算支出总额为218.92万元，部门支出预算执行总额为199.15万元，部门总体执行进度为90.97%，其中：基本支出预算总额为214.43万元，基本支出执行总额为194.65万元，基本支出总体执行进度90.78%；项目支出预算总额为4.5万元，项目支出执行总额为4.5万元，项目支出总体执行进度100.00%。具体情况详见表2-2。</w:t>
      </w:r>
    </w:p>
    <w:p>
      <w:pPr>
        <w:widowControl/>
        <w:shd w:val="clear" w:color="auto" w:fill="FFFFFF"/>
        <w:spacing w:after="150" w:line="560" w:lineRule="atLeast"/>
        <w:ind w:firstLine="640"/>
        <w:jc w:val="center"/>
        <w:rPr>
          <w:rFonts w:ascii="仿宋_GB2312" w:hAnsi="微软雅黑" w:eastAsia="仿宋_GB2312" w:cs="仿宋_GB2312"/>
          <w:color w:val="333333"/>
          <w:kern w:val="0"/>
          <w:sz w:val="32"/>
          <w:szCs w:val="32"/>
          <w:shd w:val="clear" w:color="auto" w:fill="FFFFFF"/>
        </w:rPr>
      </w:pPr>
      <w:r>
        <w:rPr>
          <w:rFonts w:hint="eastAsia" w:ascii="仿宋_GB2312" w:hAnsi="微软雅黑" w:eastAsia="仿宋_GB2312" w:cs="仿宋_GB2312"/>
          <w:color w:val="333333"/>
          <w:kern w:val="0"/>
          <w:sz w:val="32"/>
          <w:szCs w:val="32"/>
          <w:shd w:val="clear" w:color="auto" w:fill="FFFFFF"/>
        </w:rPr>
        <w:t>表2-2年度预算执行表</w:t>
      </w:r>
    </w:p>
    <w:p>
      <w:pPr>
        <w:widowControl/>
        <w:adjustRightInd w:val="0"/>
        <w:snapToGrid w:val="0"/>
        <w:spacing w:line="580" w:lineRule="exact"/>
        <w:ind w:firstLine="631"/>
        <w:contextualSpacing/>
        <w:jc w:val="right"/>
        <w:rPr>
          <w:rFonts w:ascii="仿宋_GB2312" w:hAnsi="宋体" w:cs="宋体"/>
          <w:kern w:val="0"/>
          <w:szCs w:val="32"/>
          <w:shd w:val="clear" w:color="auto" w:fill="FFFFFF"/>
        </w:rPr>
      </w:pPr>
      <w:r>
        <w:rPr>
          <w:rFonts w:hint="eastAsia" w:ascii="仿宋_GB2312" w:hAnsi="宋体" w:cs="宋体"/>
          <w:kern w:val="0"/>
          <w:szCs w:val="32"/>
          <w:shd w:val="clear" w:color="auto" w:fill="FFFFFF"/>
        </w:rPr>
        <w:t>单位：万元</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6"/>
        <w:gridCol w:w="1431"/>
        <w:gridCol w:w="1283"/>
        <w:gridCol w:w="1558"/>
        <w:gridCol w:w="1432"/>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项目名称</w:t>
            </w:r>
          </w:p>
        </w:tc>
        <w:tc>
          <w:tcPr>
            <w:tcW w:w="1547"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年初预算</w:t>
            </w:r>
          </w:p>
        </w:tc>
        <w:tc>
          <w:tcPr>
            <w:tcW w:w="1392"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中期调整</w:t>
            </w:r>
          </w:p>
        </w:tc>
        <w:tc>
          <w:tcPr>
            <w:tcW w:w="1704"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年度总预算</w:t>
            </w:r>
          </w:p>
        </w:tc>
        <w:tc>
          <w:tcPr>
            <w:tcW w:w="1548"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预算执行</w:t>
            </w:r>
          </w:p>
        </w:tc>
        <w:tc>
          <w:tcPr>
            <w:tcW w:w="1548"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一、基本支出</w:t>
            </w:r>
          </w:p>
        </w:tc>
        <w:tc>
          <w:tcPr>
            <w:tcW w:w="1547"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139.14</w:t>
            </w:r>
          </w:p>
        </w:tc>
        <w:tc>
          <w:tcPr>
            <w:tcW w:w="1392"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75.29</w:t>
            </w:r>
          </w:p>
        </w:tc>
        <w:tc>
          <w:tcPr>
            <w:tcW w:w="1704"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214.43</w:t>
            </w:r>
          </w:p>
        </w:tc>
        <w:tc>
          <w:tcPr>
            <w:tcW w:w="1548"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194.65</w:t>
            </w:r>
          </w:p>
        </w:tc>
        <w:tc>
          <w:tcPr>
            <w:tcW w:w="1548"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90.78%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人员经费</w:t>
            </w:r>
          </w:p>
        </w:tc>
        <w:tc>
          <w:tcPr>
            <w:tcW w:w="1547"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93.46</w:t>
            </w:r>
          </w:p>
        </w:tc>
        <w:tc>
          <w:tcPr>
            <w:tcW w:w="1392"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75.24</w:t>
            </w:r>
          </w:p>
        </w:tc>
        <w:tc>
          <w:tcPr>
            <w:tcW w:w="1704"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168.7</w:t>
            </w:r>
          </w:p>
        </w:tc>
        <w:tc>
          <w:tcPr>
            <w:tcW w:w="1548"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162.24</w:t>
            </w:r>
          </w:p>
        </w:tc>
        <w:tc>
          <w:tcPr>
            <w:tcW w:w="1548"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96.1%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公用经费</w:t>
            </w:r>
          </w:p>
        </w:tc>
        <w:tc>
          <w:tcPr>
            <w:tcW w:w="1547"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45.68</w:t>
            </w:r>
          </w:p>
        </w:tc>
        <w:tc>
          <w:tcPr>
            <w:tcW w:w="1392"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-0.05</w:t>
            </w:r>
          </w:p>
        </w:tc>
        <w:tc>
          <w:tcPr>
            <w:tcW w:w="1704"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45.63</w:t>
            </w:r>
          </w:p>
        </w:tc>
        <w:tc>
          <w:tcPr>
            <w:tcW w:w="1548"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29.44</w:t>
            </w:r>
          </w:p>
        </w:tc>
        <w:tc>
          <w:tcPr>
            <w:tcW w:w="1548"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64.52%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二、项目支出</w:t>
            </w:r>
          </w:p>
        </w:tc>
        <w:tc>
          <w:tcPr>
            <w:tcW w:w="1547"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4.5</w:t>
            </w:r>
          </w:p>
        </w:tc>
        <w:tc>
          <w:tcPr>
            <w:tcW w:w="1392"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0</w:t>
            </w:r>
          </w:p>
        </w:tc>
        <w:tc>
          <w:tcPr>
            <w:tcW w:w="1704"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4.5</w:t>
            </w:r>
          </w:p>
        </w:tc>
        <w:tc>
          <w:tcPr>
            <w:tcW w:w="1548"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4.5</w:t>
            </w:r>
          </w:p>
        </w:tc>
        <w:tc>
          <w:tcPr>
            <w:tcW w:w="1548"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总计</w:t>
            </w:r>
          </w:p>
        </w:tc>
        <w:tc>
          <w:tcPr>
            <w:tcW w:w="1547"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143.63</w:t>
            </w:r>
          </w:p>
        </w:tc>
        <w:tc>
          <w:tcPr>
            <w:tcW w:w="1392"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75.24</w:t>
            </w:r>
          </w:p>
        </w:tc>
        <w:tc>
          <w:tcPr>
            <w:tcW w:w="1704"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218.93</w:t>
            </w:r>
          </w:p>
        </w:tc>
        <w:tc>
          <w:tcPr>
            <w:tcW w:w="1548"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199.15</w:t>
            </w:r>
          </w:p>
        </w:tc>
        <w:tc>
          <w:tcPr>
            <w:tcW w:w="1548"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90.97%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年末结转结余</w:t>
            </w:r>
          </w:p>
        </w:tc>
        <w:tc>
          <w:tcPr>
            <w:tcW w:w="1547"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0.00</w:t>
            </w:r>
          </w:p>
        </w:tc>
        <w:tc>
          <w:tcPr>
            <w:tcW w:w="1392"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0.00</w:t>
            </w:r>
          </w:p>
        </w:tc>
        <w:tc>
          <w:tcPr>
            <w:tcW w:w="1704"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0.00</w:t>
            </w:r>
          </w:p>
        </w:tc>
        <w:tc>
          <w:tcPr>
            <w:tcW w:w="1548"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0.00</w:t>
            </w:r>
          </w:p>
        </w:tc>
        <w:tc>
          <w:tcPr>
            <w:tcW w:w="1548" w:type="dxa"/>
          </w:tcPr>
          <w:p>
            <w:pPr>
              <w:widowControl/>
              <w:adjustRightInd w:val="0"/>
              <w:snapToGrid w:val="0"/>
              <w:spacing w:line="580" w:lineRule="exact"/>
              <w:contextualSpacing/>
              <w:jc w:val="center"/>
              <w:rPr>
                <w:rFonts w:ascii="仿宋_GB2312" w:hAnsi="宋体" w:cs="宋体"/>
                <w:kern w:val="0"/>
                <w:sz w:val="24"/>
                <w:shd w:val="clear" w:color="auto" w:fill="FFFFFF"/>
              </w:rPr>
            </w:pPr>
            <w:r>
              <w:rPr>
                <w:rFonts w:hint="eastAsia" w:ascii="仿宋_GB2312" w:hAnsi="宋体" w:cs="宋体"/>
                <w:kern w:val="0"/>
                <w:sz w:val="24"/>
                <w:shd w:val="clear" w:color="auto" w:fill="FFFFFF"/>
              </w:rPr>
              <w:t>0.00</w:t>
            </w:r>
          </w:p>
        </w:tc>
      </w:tr>
    </w:tbl>
    <w:p>
      <w:pPr>
        <w:widowControl/>
        <w:adjustRightInd w:val="0"/>
        <w:snapToGrid w:val="0"/>
        <w:spacing w:line="620" w:lineRule="exact"/>
        <w:ind w:firstLine="640" w:firstLineChars="200"/>
        <w:contextualSpacing/>
        <w:jc w:val="left"/>
        <w:rPr>
          <w:rFonts w:eastAsia="黑体"/>
          <w:color w:val="000000"/>
          <w:kern w:val="0"/>
          <w:sz w:val="32"/>
          <w:szCs w:val="32"/>
          <w:shd w:val="clear" w:color="auto" w:fill="FFFFFF"/>
        </w:rPr>
      </w:pPr>
      <w:r>
        <w:rPr>
          <w:rFonts w:eastAsia="黑体"/>
          <w:color w:val="000000"/>
          <w:kern w:val="0"/>
          <w:sz w:val="32"/>
          <w:szCs w:val="32"/>
          <w:shd w:val="clear" w:color="auto" w:fill="FFFFFF"/>
        </w:rPr>
        <w:t>三、部门整体预算绩效管理情况</w:t>
      </w:r>
    </w:p>
    <w:p>
      <w:pPr>
        <w:widowControl/>
        <w:adjustRightInd w:val="0"/>
        <w:snapToGrid w:val="0"/>
        <w:spacing w:line="620" w:lineRule="exact"/>
        <w:ind w:firstLine="643" w:firstLineChars="200"/>
        <w:contextualSpacing/>
        <w:jc w:val="left"/>
        <w:rPr>
          <w:rStyle w:val="18"/>
          <w:rFonts w:ascii="楷体_GB2312" w:hAnsi="sans-serif" w:eastAsia="楷体_GB2312" w:cs="楷体_GB2312"/>
          <w:color w:val="000000"/>
          <w:kern w:val="0"/>
          <w:sz w:val="32"/>
          <w:szCs w:val="32"/>
          <w:lang w:val="zh-CN"/>
        </w:rPr>
      </w:pPr>
      <w:r>
        <w:rPr>
          <w:rStyle w:val="18"/>
          <w:rFonts w:hint="eastAsia" w:ascii="楷体_GB2312" w:hAnsi="sans-serif" w:eastAsia="楷体_GB2312" w:cs="楷体_GB2312"/>
          <w:color w:val="000000"/>
          <w:kern w:val="0"/>
          <w:sz w:val="32"/>
          <w:szCs w:val="32"/>
          <w:lang w:val="zh-CN"/>
        </w:rPr>
        <w:t>（一）部门预算项目绩效管理。</w:t>
      </w:r>
    </w:p>
    <w:p>
      <w:pPr>
        <w:widowControl/>
        <w:shd w:val="clear" w:color="auto" w:fill="FFFFFF"/>
        <w:spacing w:after="150" w:line="578" w:lineRule="exact"/>
        <w:ind w:firstLine="641"/>
        <w:jc w:val="left"/>
        <w:rPr>
          <w:rFonts w:ascii="仿宋_GB2312" w:hAnsi="微软雅黑" w:eastAsia="仿宋_GB2312" w:cs="仿宋_GB2312"/>
          <w:color w:val="333333"/>
          <w:kern w:val="0"/>
          <w:sz w:val="32"/>
          <w:szCs w:val="32"/>
          <w:shd w:val="clear" w:color="auto" w:fill="FFFFFF"/>
          <w:lang w:val="zh-CN"/>
        </w:rPr>
      </w:pPr>
      <w:r>
        <w:rPr>
          <w:rFonts w:hint="eastAsia" w:ascii="仿宋_GB2312" w:hAnsi="微软雅黑" w:eastAsia="仿宋_GB2312" w:cs="仿宋_GB2312"/>
          <w:color w:val="333333"/>
          <w:kern w:val="0"/>
          <w:sz w:val="32"/>
          <w:szCs w:val="32"/>
          <w:shd w:val="clear" w:color="auto" w:fill="FFFFFF"/>
        </w:rPr>
        <w:t>1.</w:t>
      </w:r>
      <w:r>
        <w:rPr>
          <w:rFonts w:hint="eastAsia" w:ascii="仿宋_GB2312" w:hAnsi="微软雅黑" w:eastAsia="仿宋_GB2312" w:cs="仿宋_GB2312"/>
          <w:color w:val="333333"/>
          <w:kern w:val="0"/>
          <w:sz w:val="32"/>
          <w:szCs w:val="32"/>
          <w:shd w:val="clear" w:color="auto" w:fill="FFFFFF"/>
          <w:lang w:val="zh-CN"/>
        </w:rPr>
        <w:t>包括部门绩效目标制定</w:t>
      </w:r>
    </w:p>
    <w:p>
      <w:pPr>
        <w:widowControl/>
        <w:shd w:val="clear" w:color="auto" w:fill="FFFFFF"/>
        <w:spacing w:after="150" w:line="578" w:lineRule="exact"/>
        <w:ind w:firstLine="641"/>
        <w:jc w:val="left"/>
        <w:rPr>
          <w:rFonts w:ascii="仿宋_GB2312" w:hAnsi="微软雅黑" w:eastAsia="仿宋_GB2312" w:cs="仿宋_GB2312"/>
          <w:color w:val="333333"/>
          <w:kern w:val="0"/>
          <w:sz w:val="32"/>
          <w:szCs w:val="32"/>
          <w:shd w:val="clear" w:color="auto" w:fill="FFFFFF"/>
        </w:rPr>
      </w:pPr>
      <w:r>
        <w:rPr>
          <w:rFonts w:ascii="仿宋_GB2312" w:hAnsi="微软雅黑" w:eastAsia="仿宋_GB2312" w:cs="仿宋_GB2312"/>
          <w:color w:val="333333"/>
          <w:kern w:val="0"/>
          <w:sz w:val="32"/>
          <w:szCs w:val="32"/>
          <w:shd w:val="clear" w:color="auto" w:fill="FFFFFF"/>
        </w:rPr>
        <w:t xml:space="preserve">2022年，我单位坚持以习近平新时代中国特色社会主义思想为指导，按照《全省预算绩效管理工作推进方案》的工作要求，根据职能职责积极谋划，全面贯彻落实全方位、全过程、全覆盖的总体要求，严把事前评估、事中监控、事后评价关键节点，推进我单位预算绩效管理工作稳步开展。 </w:t>
      </w:r>
    </w:p>
    <w:p>
      <w:pPr>
        <w:widowControl/>
        <w:shd w:val="clear" w:color="auto" w:fill="FFFFFF"/>
        <w:spacing w:after="150" w:line="578" w:lineRule="exact"/>
        <w:ind w:firstLine="641"/>
        <w:jc w:val="left"/>
        <w:rPr>
          <w:rFonts w:ascii="仿宋_GB2312" w:hAnsi="微软雅黑" w:eastAsia="仿宋_GB2312" w:cs="仿宋_GB2312"/>
          <w:color w:val="333333"/>
          <w:kern w:val="0"/>
          <w:sz w:val="32"/>
          <w:szCs w:val="32"/>
          <w:shd w:val="clear" w:color="auto" w:fill="FFFFFF"/>
        </w:rPr>
      </w:pPr>
      <w:r>
        <w:rPr>
          <w:rFonts w:ascii="仿宋_GB2312" w:hAnsi="微软雅黑" w:eastAsia="仿宋_GB2312" w:cs="仿宋_GB2312"/>
          <w:color w:val="333333"/>
          <w:kern w:val="0"/>
          <w:sz w:val="32"/>
          <w:szCs w:val="32"/>
          <w:shd w:val="clear" w:color="auto" w:fill="FFFFFF"/>
        </w:rPr>
        <w:t>一是按照2022年部门预算编制要求，结合我单位中长期规划和年度工作计划，认真填报了我单位整体支出绩效目标，设定了符合项目特点的年度绩效数量指标、成本指标、效益指标等，详细反映了相应项目工作任务、达成的效果。</w:t>
      </w:r>
    </w:p>
    <w:p>
      <w:pPr>
        <w:widowControl/>
        <w:shd w:val="clear" w:color="auto" w:fill="FFFFFF"/>
        <w:spacing w:after="150" w:line="578" w:lineRule="exact"/>
        <w:ind w:firstLine="641"/>
        <w:jc w:val="left"/>
        <w:rPr>
          <w:rFonts w:ascii="仿宋_GB2312" w:hAnsi="微软雅黑" w:eastAsia="仿宋_GB2312" w:cs="仿宋_GB2312"/>
          <w:color w:val="333333"/>
          <w:kern w:val="0"/>
          <w:sz w:val="32"/>
          <w:szCs w:val="32"/>
          <w:shd w:val="clear" w:color="auto" w:fill="FFFFFF"/>
        </w:rPr>
      </w:pPr>
      <w:r>
        <w:rPr>
          <w:rFonts w:ascii="仿宋_GB2312" w:hAnsi="微软雅黑" w:eastAsia="仿宋_GB2312" w:cs="仿宋_GB2312"/>
          <w:color w:val="333333"/>
          <w:kern w:val="0"/>
          <w:sz w:val="32"/>
          <w:szCs w:val="32"/>
          <w:shd w:val="clear" w:color="auto" w:fill="FFFFFF"/>
        </w:rPr>
        <w:t>二是按照财政部门统一部署，我单位按要求于2023年8月20日随同2022年部门决算公开了部门整体支出绩效情况。</w:t>
      </w:r>
    </w:p>
    <w:p>
      <w:pPr>
        <w:widowControl/>
        <w:shd w:val="clear" w:color="auto" w:fill="FFFFFF"/>
        <w:spacing w:after="150" w:line="578" w:lineRule="exact"/>
        <w:ind w:firstLine="641"/>
        <w:jc w:val="left"/>
        <w:rPr>
          <w:rFonts w:ascii="仿宋_GB2312" w:hAnsi="微软雅黑" w:eastAsia="仿宋_GB2312" w:cs="仿宋_GB2312"/>
          <w:color w:val="333333"/>
          <w:kern w:val="0"/>
          <w:sz w:val="32"/>
          <w:szCs w:val="32"/>
          <w:shd w:val="clear" w:color="auto" w:fill="FFFFFF"/>
          <w:lang w:val="zh-CN"/>
        </w:rPr>
      </w:pPr>
      <w:r>
        <w:rPr>
          <w:rFonts w:hint="eastAsia" w:ascii="仿宋_GB2312" w:hAnsi="微软雅黑" w:eastAsia="仿宋_GB2312" w:cs="仿宋_GB2312"/>
          <w:color w:val="333333"/>
          <w:kern w:val="0"/>
          <w:sz w:val="32"/>
          <w:szCs w:val="32"/>
          <w:shd w:val="clear" w:color="auto" w:fill="FFFFFF"/>
        </w:rPr>
        <w:t>2.</w:t>
      </w:r>
      <w:r>
        <w:rPr>
          <w:rFonts w:hint="eastAsia" w:ascii="仿宋_GB2312" w:hAnsi="微软雅黑" w:eastAsia="仿宋_GB2312" w:cs="仿宋_GB2312"/>
          <w:color w:val="333333"/>
          <w:kern w:val="0"/>
          <w:sz w:val="32"/>
          <w:szCs w:val="32"/>
          <w:shd w:val="clear" w:color="auto" w:fill="FFFFFF"/>
          <w:lang w:val="zh-CN"/>
        </w:rPr>
        <w:t>目标实现（按人员类、运转类、特定目标类项目分类阐述）</w:t>
      </w:r>
    </w:p>
    <w:p>
      <w:pPr>
        <w:widowControl/>
        <w:shd w:val="clear" w:color="auto" w:fill="FFFFFF"/>
        <w:spacing w:after="150" w:line="578" w:lineRule="exact"/>
        <w:ind w:firstLine="641"/>
        <w:jc w:val="left"/>
        <w:rPr>
          <w:rFonts w:ascii="仿宋_GB2312" w:hAnsi="微软雅黑" w:eastAsia="仿宋_GB2312" w:cs="仿宋_GB2312"/>
          <w:color w:val="333333"/>
          <w:kern w:val="0"/>
          <w:sz w:val="32"/>
          <w:szCs w:val="32"/>
          <w:shd w:val="clear" w:color="auto" w:fill="FFFFFF"/>
          <w:lang w:val="zh-CN"/>
        </w:rPr>
      </w:pPr>
      <w:r>
        <w:rPr>
          <w:rFonts w:hint="eastAsia" w:ascii="仿宋_GB2312" w:hAnsi="微软雅黑" w:eastAsia="仿宋_GB2312" w:cs="仿宋_GB2312"/>
          <w:color w:val="333333"/>
          <w:kern w:val="0"/>
          <w:sz w:val="32"/>
          <w:szCs w:val="32"/>
          <w:shd w:val="clear" w:color="auto" w:fill="FFFFFF"/>
          <w:lang w:val="zh-CN"/>
        </w:rPr>
        <w:t>202</w:t>
      </w:r>
      <w:r>
        <w:rPr>
          <w:rFonts w:hint="eastAsia" w:ascii="仿宋_GB2312" w:hAnsi="微软雅黑" w:eastAsia="仿宋_GB2312" w:cs="仿宋_GB2312"/>
          <w:color w:val="333333"/>
          <w:kern w:val="0"/>
          <w:sz w:val="32"/>
          <w:szCs w:val="32"/>
          <w:shd w:val="clear" w:color="auto" w:fill="FFFFFF"/>
        </w:rPr>
        <w:t>2</w:t>
      </w:r>
      <w:r>
        <w:rPr>
          <w:rFonts w:hint="eastAsia" w:ascii="仿宋_GB2312" w:hAnsi="微软雅黑" w:eastAsia="仿宋_GB2312" w:cs="仿宋_GB2312"/>
          <w:color w:val="333333"/>
          <w:kern w:val="0"/>
          <w:sz w:val="32"/>
          <w:szCs w:val="32"/>
          <w:shd w:val="clear" w:color="auto" w:fill="FFFFFF"/>
          <w:lang w:val="zh-CN"/>
        </w:rPr>
        <w:t>年，我局编制部门预算的同时，按要求合理编制整体绩效目标和项目绩效目标，并严格按照年初计划完成绩效目标。</w:t>
      </w:r>
    </w:p>
    <w:p>
      <w:pPr>
        <w:widowControl/>
        <w:shd w:val="clear" w:color="auto" w:fill="FFFFFF"/>
        <w:spacing w:after="150" w:line="578" w:lineRule="exact"/>
        <w:ind w:firstLine="641"/>
        <w:jc w:val="left"/>
        <w:rPr>
          <w:rFonts w:ascii="仿宋_GB2312" w:hAnsi="微软雅黑" w:eastAsia="仿宋_GB2312" w:cs="仿宋_GB2312"/>
          <w:color w:val="333333"/>
          <w:kern w:val="0"/>
          <w:sz w:val="32"/>
          <w:szCs w:val="32"/>
          <w:shd w:val="clear" w:color="auto" w:fill="FFFFFF"/>
        </w:rPr>
      </w:pPr>
      <w:r>
        <w:rPr>
          <w:rFonts w:hint="eastAsia" w:ascii="仿宋_GB2312" w:hAnsi="微软雅黑" w:eastAsia="仿宋_GB2312" w:cs="仿宋_GB2312"/>
          <w:color w:val="333333"/>
          <w:kern w:val="0"/>
          <w:sz w:val="32"/>
          <w:szCs w:val="32"/>
          <w:shd w:val="clear" w:color="auto" w:fill="FFFFFF"/>
        </w:rPr>
        <w:t>2022年</w:t>
      </w:r>
      <w:r>
        <w:rPr>
          <w:rFonts w:hint="eastAsia" w:ascii="仿宋_GB2312" w:hAnsi="微软雅黑" w:eastAsia="仿宋_GB2312" w:cs="仿宋_GB2312"/>
          <w:color w:val="333333"/>
          <w:kern w:val="0"/>
          <w:sz w:val="32"/>
          <w:szCs w:val="32"/>
          <w:shd w:val="clear" w:color="auto" w:fill="FFFFFF"/>
          <w:lang w:val="zh-CN"/>
        </w:rPr>
        <w:t>完成人员类经费核算及日常公用经费的运转核算</w:t>
      </w:r>
      <w:r>
        <w:rPr>
          <w:rFonts w:hint="eastAsia" w:ascii="仿宋_GB2312" w:hAnsi="微软雅黑" w:eastAsia="仿宋_GB2312" w:cs="仿宋_GB2312"/>
          <w:color w:val="333333"/>
          <w:kern w:val="0"/>
          <w:sz w:val="32"/>
          <w:szCs w:val="32"/>
          <w:shd w:val="clear" w:color="auto" w:fill="FFFFFF"/>
        </w:rPr>
        <w:t>199.15万元，基本支出194.65万元，其中人员经费支165.04万元，日常公用经费支出29.61万元。</w:t>
      </w:r>
      <w:r>
        <w:rPr>
          <w:rFonts w:hint="eastAsia" w:ascii="仿宋_GB2312" w:hAnsi="微软雅黑" w:eastAsia="仿宋_GB2312" w:cs="仿宋_GB2312"/>
          <w:color w:val="333333"/>
          <w:kern w:val="0"/>
          <w:sz w:val="32"/>
          <w:szCs w:val="32"/>
          <w:shd w:val="clear" w:color="auto" w:fill="FFFFFF"/>
          <w:lang w:val="zh-CN"/>
        </w:rPr>
        <w:t>同时</w:t>
      </w:r>
      <w:r>
        <w:rPr>
          <w:rFonts w:hint="eastAsia" w:ascii="仿宋_GB2312" w:hAnsi="微软雅黑" w:eastAsia="仿宋_GB2312" w:cs="仿宋_GB2312"/>
          <w:color w:val="333333"/>
          <w:kern w:val="0"/>
          <w:sz w:val="32"/>
          <w:szCs w:val="32"/>
          <w:shd w:val="clear" w:color="auto" w:fill="FFFFFF"/>
        </w:rPr>
        <w:t>完成特定目标类项目目标1个，项目支出经费4.50万元（</w:t>
      </w:r>
      <w:r>
        <w:rPr>
          <w:rFonts w:ascii="仿宋_GB2312" w:hAnsi="微软雅黑" w:eastAsia="仿宋_GB2312" w:cs="仿宋_GB2312"/>
          <w:color w:val="333333"/>
          <w:kern w:val="0"/>
          <w:sz w:val="32"/>
          <w:szCs w:val="32"/>
          <w:shd w:val="clear" w:color="auto" w:fill="FFFFFF"/>
        </w:rPr>
        <w:t>辅助管理专项资金</w:t>
      </w:r>
      <w:r>
        <w:rPr>
          <w:rFonts w:hint="eastAsia" w:ascii="仿宋_GB2312" w:hAnsi="微软雅黑" w:eastAsia="仿宋_GB2312" w:cs="仿宋_GB2312"/>
          <w:color w:val="333333"/>
          <w:kern w:val="0"/>
          <w:sz w:val="32"/>
          <w:szCs w:val="32"/>
          <w:shd w:val="clear" w:color="auto" w:fill="FFFFFF"/>
        </w:rPr>
        <w:t>4.50万元）。</w:t>
      </w:r>
    </w:p>
    <w:p>
      <w:pPr>
        <w:pStyle w:val="6"/>
        <w:jc w:val="right"/>
      </w:pPr>
      <w:r>
        <w:rPr>
          <w:rFonts w:hint="eastAsia"/>
        </w:rPr>
        <w:t>单位：万元</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3"/>
        <w:gridCol w:w="2125"/>
        <w:gridCol w:w="2143"/>
        <w:gridCol w:w="2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6"/>
              <w:jc w:val="center"/>
            </w:pPr>
            <w:r>
              <w:rPr>
                <w:rFonts w:hint="eastAsia"/>
              </w:rPr>
              <w:t>科目名称</w:t>
            </w:r>
          </w:p>
        </w:tc>
        <w:tc>
          <w:tcPr>
            <w:tcW w:w="2321" w:type="dxa"/>
          </w:tcPr>
          <w:p>
            <w:pPr>
              <w:pStyle w:val="6"/>
            </w:pPr>
            <w:r>
              <w:rPr>
                <w:rFonts w:hint="eastAsia"/>
              </w:rPr>
              <w:t>年度预算</w:t>
            </w:r>
          </w:p>
        </w:tc>
        <w:tc>
          <w:tcPr>
            <w:tcW w:w="2322" w:type="dxa"/>
          </w:tcPr>
          <w:p>
            <w:pPr>
              <w:pStyle w:val="6"/>
            </w:pPr>
            <w:r>
              <w:rPr>
                <w:rFonts w:hint="eastAsia"/>
              </w:rPr>
              <w:t>完成值</w:t>
            </w:r>
          </w:p>
        </w:tc>
        <w:tc>
          <w:tcPr>
            <w:tcW w:w="2322" w:type="dxa"/>
          </w:tcPr>
          <w:p>
            <w:pPr>
              <w:pStyle w:val="6"/>
              <w:jc w:val="center"/>
            </w:pPr>
            <w:r>
              <w:rPr>
                <w:rFonts w:hint="eastAsia"/>
              </w:rPr>
              <w:t>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6"/>
              <w:jc w:val="center"/>
            </w:pPr>
            <w:r>
              <w:rPr>
                <w:rFonts w:hint="eastAsia"/>
              </w:rPr>
              <w:t>人员类</w:t>
            </w:r>
          </w:p>
        </w:tc>
        <w:tc>
          <w:tcPr>
            <w:tcW w:w="2321" w:type="dxa"/>
          </w:tcPr>
          <w:p>
            <w:pPr>
              <w:pStyle w:val="6"/>
            </w:pPr>
            <w:r>
              <w:rPr>
                <w:rFonts w:hint="eastAsia"/>
              </w:rPr>
              <w:t>168.7</w:t>
            </w:r>
          </w:p>
        </w:tc>
        <w:tc>
          <w:tcPr>
            <w:tcW w:w="2322" w:type="dxa"/>
          </w:tcPr>
          <w:p>
            <w:pPr>
              <w:pStyle w:val="6"/>
              <w:jc w:val="center"/>
            </w:pPr>
            <w:r>
              <w:rPr>
                <w:rFonts w:hint="eastAsia"/>
              </w:rPr>
              <w:t>165.04</w:t>
            </w:r>
          </w:p>
        </w:tc>
        <w:tc>
          <w:tcPr>
            <w:tcW w:w="2322" w:type="dxa"/>
          </w:tcPr>
          <w:p>
            <w:pPr>
              <w:pStyle w:val="6"/>
              <w:jc w:val="center"/>
            </w:pPr>
            <w:r>
              <w:rPr>
                <w:rFonts w:hint="eastAsia"/>
              </w:rPr>
              <w:t>97.83%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6"/>
              <w:jc w:val="center"/>
            </w:pPr>
            <w:r>
              <w:rPr>
                <w:rFonts w:hint="eastAsia"/>
              </w:rPr>
              <w:t>运转类</w:t>
            </w:r>
          </w:p>
        </w:tc>
        <w:tc>
          <w:tcPr>
            <w:tcW w:w="2321" w:type="dxa"/>
          </w:tcPr>
          <w:p>
            <w:pPr>
              <w:pStyle w:val="6"/>
            </w:pPr>
            <w:r>
              <w:rPr>
                <w:rFonts w:hint="eastAsia"/>
              </w:rPr>
              <w:t>45.63</w:t>
            </w:r>
          </w:p>
        </w:tc>
        <w:tc>
          <w:tcPr>
            <w:tcW w:w="2322" w:type="dxa"/>
          </w:tcPr>
          <w:p>
            <w:pPr>
              <w:pStyle w:val="6"/>
              <w:ind w:firstLine="485" w:firstLineChars="231"/>
            </w:pPr>
            <w:r>
              <w:rPr>
                <w:rFonts w:hint="eastAsia"/>
              </w:rPr>
              <w:t>29.61</w:t>
            </w:r>
          </w:p>
        </w:tc>
        <w:tc>
          <w:tcPr>
            <w:tcW w:w="2322" w:type="dxa"/>
          </w:tcPr>
          <w:p>
            <w:pPr>
              <w:pStyle w:val="6"/>
              <w:jc w:val="center"/>
            </w:pPr>
            <w:r>
              <w:rPr>
                <w:rFonts w:hint="eastAsia"/>
              </w:rPr>
              <w:t>64.89%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6"/>
              <w:jc w:val="center"/>
            </w:pPr>
            <w:r>
              <w:rPr>
                <w:rFonts w:hint="eastAsia"/>
              </w:rPr>
              <w:t>特定目标类</w:t>
            </w:r>
          </w:p>
        </w:tc>
        <w:tc>
          <w:tcPr>
            <w:tcW w:w="2321" w:type="dxa"/>
          </w:tcPr>
          <w:p>
            <w:pPr>
              <w:pStyle w:val="6"/>
            </w:pPr>
            <w:r>
              <w:rPr>
                <w:rFonts w:hint="eastAsia"/>
              </w:rPr>
              <w:t>4.5</w:t>
            </w:r>
          </w:p>
        </w:tc>
        <w:tc>
          <w:tcPr>
            <w:tcW w:w="2322" w:type="dxa"/>
          </w:tcPr>
          <w:p>
            <w:pPr>
              <w:pStyle w:val="6"/>
              <w:ind w:firstLine="485" w:firstLineChars="231"/>
            </w:pPr>
            <w:r>
              <w:rPr>
                <w:rFonts w:hint="eastAsia"/>
              </w:rPr>
              <w:t>4.5</w:t>
            </w:r>
          </w:p>
        </w:tc>
        <w:tc>
          <w:tcPr>
            <w:tcW w:w="2322" w:type="dxa"/>
          </w:tcPr>
          <w:p>
            <w:pPr>
              <w:pStyle w:val="6"/>
              <w:jc w:val="center"/>
            </w:pPr>
            <w:r>
              <w:rPr>
                <w:rFonts w:hint="eastAsia"/>
              </w:rPr>
              <w:t>100.00%</w:t>
            </w:r>
          </w:p>
        </w:tc>
      </w:tr>
    </w:tbl>
    <w:p>
      <w:pPr>
        <w:widowControl/>
        <w:shd w:val="clear" w:color="auto" w:fill="FFFFFF"/>
        <w:spacing w:after="150" w:line="560" w:lineRule="atLeast"/>
        <w:ind w:firstLine="640"/>
        <w:jc w:val="center"/>
        <w:rPr>
          <w:rFonts w:ascii="仿宋_GB2312" w:hAnsi="微软雅黑" w:eastAsia="仿宋_GB2312" w:cs="仿宋_GB2312"/>
          <w:color w:val="333333"/>
          <w:kern w:val="0"/>
          <w:sz w:val="32"/>
          <w:szCs w:val="32"/>
          <w:shd w:val="clear" w:color="auto" w:fill="FFFFFF"/>
        </w:rPr>
      </w:pPr>
      <w:r>
        <w:rPr>
          <w:rFonts w:hint="eastAsia" w:ascii="仿宋_GB2312" w:hAnsi="微软雅黑" w:eastAsia="仿宋_GB2312" w:cs="仿宋_GB2312"/>
          <w:color w:val="333333"/>
          <w:kern w:val="0"/>
          <w:sz w:val="32"/>
          <w:szCs w:val="32"/>
          <w:shd w:val="clear" w:color="auto" w:fill="FFFFFF"/>
        </w:rPr>
        <w:t>特定目标类项目目标完成表</w:t>
      </w:r>
    </w:p>
    <w:tbl>
      <w:tblPr>
        <w:tblStyle w:val="16"/>
        <w:tblW w:w="0" w:type="auto"/>
        <w:tblInd w:w="-8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725"/>
        <w:gridCol w:w="2520"/>
        <w:gridCol w:w="1410"/>
        <w:gridCol w:w="1035"/>
        <w:gridCol w:w="945"/>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tcPr>
          <w:p>
            <w:pPr>
              <w:pStyle w:val="6"/>
              <w:ind w:firstLine="0"/>
              <w:jc w:val="center"/>
              <w:rPr>
                <w:rFonts w:ascii="仿宋_GB2312" w:hAnsi="仿宋_GB2312" w:cs="仿宋_GB2312"/>
                <w:sz w:val="24"/>
                <w:szCs w:val="24"/>
              </w:rPr>
            </w:pPr>
            <w:r>
              <w:rPr>
                <w:rFonts w:hint="eastAsia" w:ascii="仿宋_GB2312" w:hAnsi="仿宋_GB2312" w:cs="仿宋_GB2312"/>
                <w:sz w:val="24"/>
                <w:szCs w:val="24"/>
              </w:rPr>
              <w:t>单位名称</w:t>
            </w:r>
          </w:p>
        </w:tc>
        <w:tc>
          <w:tcPr>
            <w:tcW w:w="1725" w:type="dxa"/>
          </w:tcPr>
          <w:p>
            <w:pPr>
              <w:pStyle w:val="6"/>
              <w:ind w:firstLine="0"/>
              <w:jc w:val="center"/>
              <w:rPr>
                <w:rFonts w:ascii="仿宋_GB2312" w:hAnsi="仿宋_GB2312" w:cs="仿宋_GB2312"/>
                <w:sz w:val="24"/>
                <w:szCs w:val="24"/>
              </w:rPr>
            </w:pPr>
            <w:r>
              <w:rPr>
                <w:rFonts w:hint="eastAsia" w:ascii="仿宋_GB2312" w:hAnsi="仿宋_GB2312" w:cs="仿宋_GB2312"/>
                <w:sz w:val="24"/>
                <w:szCs w:val="24"/>
              </w:rPr>
              <w:t>项目</w:t>
            </w:r>
          </w:p>
        </w:tc>
        <w:tc>
          <w:tcPr>
            <w:tcW w:w="2520" w:type="dxa"/>
          </w:tcPr>
          <w:p>
            <w:pPr>
              <w:pStyle w:val="6"/>
              <w:ind w:firstLine="0"/>
              <w:jc w:val="center"/>
              <w:rPr>
                <w:rFonts w:ascii="仿宋_GB2312" w:hAnsi="仿宋_GB2312" w:cs="仿宋_GB2312"/>
                <w:sz w:val="24"/>
                <w:szCs w:val="24"/>
              </w:rPr>
            </w:pPr>
            <w:r>
              <w:rPr>
                <w:rFonts w:hint="eastAsia" w:ascii="仿宋_GB2312" w:hAnsi="仿宋_GB2312" w:cs="仿宋_GB2312"/>
                <w:sz w:val="24"/>
                <w:szCs w:val="24"/>
              </w:rPr>
              <w:t>绩效目标</w:t>
            </w:r>
          </w:p>
        </w:tc>
        <w:tc>
          <w:tcPr>
            <w:tcW w:w="1410" w:type="dxa"/>
          </w:tcPr>
          <w:p>
            <w:pPr>
              <w:pStyle w:val="6"/>
              <w:ind w:firstLine="0"/>
              <w:jc w:val="center"/>
              <w:rPr>
                <w:rFonts w:ascii="仿宋_GB2312" w:hAnsi="仿宋_GB2312" w:cs="仿宋_GB2312"/>
                <w:sz w:val="24"/>
                <w:szCs w:val="24"/>
              </w:rPr>
            </w:pPr>
            <w:r>
              <w:rPr>
                <w:rFonts w:hint="eastAsia" w:ascii="仿宋_GB2312" w:hAnsi="仿宋_GB2312" w:cs="仿宋_GB2312"/>
                <w:sz w:val="24"/>
                <w:szCs w:val="24"/>
              </w:rPr>
              <w:t>数量指标</w:t>
            </w:r>
          </w:p>
        </w:tc>
        <w:tc>
          <w:tcPr>
            <w:tcW w:w="1035" w:type="dxa"/>
          </w:tcPr>
          <w:p>
            <w:pPr>
              <w:pStyle w:val="6"/>
              <w:ind w:firstLine="0"/>
              <w:jc w:val="center"/>
              <w:rPr>
                <w:rFonts w:ascii="仿宋_GB2312" w:hAnsi="仿宋_GB2312" w:cs="仿宋_GB2312"/>
                <w:sz w:val="24"/>
                <w:szCs w:val="24"/>
              </w:rPr>
            </w:pPr>
            <w:r>
              <w:rPr>
                <w:rFonts w:hint="eastAsia" w:ascii="仿宋_GB2312" w:hAnsi="仿宋_GB2312" w:cs="仿宋_GB2312"/>
                <w:sz w:val="24"/>
                <w:szCs w:val="24"/>
              </w:rPr>
              <w:t>目标值</w:t>
            </w:r>
          </w:p>
        </w:tc>
        <w:tc>
          <w:tcPr>
            <w:tcW w:w="945" w:type="dxa"/>
          </w:tcPr>
          <w:p>
            <w:pPr>
              <w:pStyle w:val="6"/>
              <w:ind w:firstLine="0"/>
              <w:jc w:val="center"/>
              <w:rPr>
                <w:rFonts w:ascii="仿宋_GB2312" w:hAnsi="仿宋_GB2312" w:cs="仿宋_GB2312"/>
                <w:sz w:val="24"/>
                <w:szCs w:val="24"/>
              </w:rPr>
            </w:pPr>
            <w:r>
              <w:rPr>
                <w:rFonts w:hint="eastAsia" w:ascii="仿宋_GB2312" w:hAnsi="仿宋_GB2312" w:cs="仿宋_GB2312"/>
                <w:sz w:val="24"/>
                <w:szCs w:val="24"/>
              </w:rPr>
              <w:t>完成值</w:t>
            </w:r>
          </w:p>
        </w:tc>
        <w:tc>
          <w:tcPr>
            <w:tcW w:w="1140" w:type="dxa"/>
          </w:tcPr>
          <w:p>
            <w:pPr>
              <w:pStyle w:val="6"/>
              <w:ind w:firstLine="0"/>
              <w:jc w:val="center"/>
              <w:rPr>
                <w:rFonts w:ascii="仿宋_GB2312" w:hAnsi="仿宋_GB2312" w:cs="仿宋_GB2312"/>
                <w:sz w:val="24"/>
                <w:szCs w:val="24"/>
              </w:rPr>
            </w:pPr>
            <w:r>
              <w:rPr>
                <w:rFonts w:hint="eastAsia" w:ascii="仿宋_GB2312" w:hAnsi="仿宋_GB2312" w:cs="仿宋_GB2312"/>
                <w:sz w:val="24"/>
                <w:szCs w:val="24"/>
              </w:rPr>
              <w:t>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tcPr>
          <w:p>
            <w:pPr>
              <w:pStyle w:val="6"/>
              <w:ind w:firstLine="0"/>
              <w:rPr>
                <w:rFonts w:ascii="仿宋_GB2312" w:hAnsi="仿宋_GB2312" w:cs="仿宋_GB2312"/>
                <w:sz w:val="24"/>
                <w:szCs w:val="24"/>
              </w:rPr>
            </w:pPr>
            <w:r>
              <w:rPr>
                <w:rFonts w:hint="eastAsia" w:ascii="仿宋_GB2312" w:hAnsi="仿宋_GB2312" w:cs="仿宋_GB2312"/>
                <w:sz w:val="24"/>
                <w:szCs w:val="24"/>
              </w:rPr>
              <w:t>遂宁市减灾中心</w:t>
            </w:r>
          </w:p>
        </w:tc>
        <w:tc>
          <w:tcPr>
            <w:tcW w:w="1725" w:type="dxa"/>
          </w:tcPr>
          <w:p>
            <w:pPr>
              <w:pStyle w:val="6"/>
              <w:ind w:firstLine="0"/>
              <w:rPr>
                <w:rFonts w:ascii="仿宋_GB2312" w:hAnsi="仿宋_GB2312" w:cs="仿宋_GB2312"/>
                <w:sz w:val="24"/>
                <w:szCs w:val="24"/>
              </w:rPr>
            </w:pPr>
            <w:r>
              <w:rPr>
                <w:rFonts w:ascii="仿宋_GB2312" w:hAnsi="仿宋_GB2312" w:cs="仿宋_GB2312"/>
                <w:sz w:val="24"/>
                <w:szCs w:val="24"/>
              </w:rPr>
              <w:t>辅助管理专项资金</w:t>
            </w:r>
          </w:p>
        </w:tc>
        <w:tc>
          <w:tcPr>
            <w:tcW w:w="2520" w:type="dxa"/>
          </w:tcPr>
          <w:p>
            <w:pPr>
              <w:pStyle w:val="6"/>
              <w:ind w:firstLine="0"/>
              <w:rPr>
                <w:rFonts w:ascii="仿宋_GB2312" w:hAnsi="仿宋_GB2312" w:cs="仿宋_GB2312"/>
                <w:sz w:val="24"/>
                <w:szCs w:val="24"/>
              </w:rPr>
            </w:pPr>
            <w:r>
              <w:rPr>
                <w:rFonts w:ascii="仿宋_GB2312" w:hAnsi="仿宋_GB2312" w:cs="仿宋_GB2312"/>
                <w:sz w:val="24"/>
                <w:szCs w:val="24"/>
              </w:rPr>
              <w:t>辅助性服务人员整体评价达到90%</w:t>
            </w:r>
          </w:p>
        </w:tc>
        <w:tc>
          <w:tcPr>
            <w:tcW w:w="1410" w:type="dxa"/>
          </w:tcPr>
          <w:p>
            <w:pPr>
              <w:pStyle w:val="6"/>
              <w:ind w:firstLine="0"/>
              <w:rPr>
                <w:rFonts w:ascii="仿宋_GB2312" w:hAnsi="仿宋_GB2312" w:cs="仿宋_GB2312"/>
                <w:sz w:val="24"/>
                <w:szCs w:val="24"/>
              </w:rPr>
            </w:pPr>
            <w:r>
              <w:rPr>
                <w:rFonts w:ascii="仿宋_GB2312" w:hAnsi="仿宋_GB2312" w:cs="仿宋_GB2312"/>
                <w:sz w:val="24"/>
                <w:szCs w:val="24"/>
              </w:rPr>
              <w:t>完成2022年度12个月账务处理</w:t>
            </w:r>
          </w:p>
        </w:tc>
        <w:tc>
          <w:tcPr>
            <w:tcW w:w="1035" w:type="dxa"/>
          </w:tcPr>
          <w:p>
            <w:pPr>
              <w:pStyle w:val="6"/>
              <w:ind w:firstLine="0"/>
              <w:rPr>
                <w:rFonts w:ascii="仿宋_GB2312" w:hAnsi="仿宋_GB2312" w:cs="仿宋_GB2312"/>
                <w:sz w:val="24"/>
                <w:szCs w:val="24"/>
              </w:rPr>
            </w:pPr>
            <w:r>
              <w:rPr>
                <w:rFonts w:ascii="仿宋_GB2312" w:hAnsi="仿宋_GB2312" w:cs="仿宋_GB2312"/>
                <w:sz w:val="24"/>
                <w:szCs w:val="24"/>
              </w:rPr>
              <w:t>＝</w:t>
            </w:r>
            <w:r>
              <w:rPr>
                <w:rFonts w:hint="eastAsia" w:ascii="仿宋_GB2312" w:hAnsi="仿宋_GB2312" w:cs="仿宋_GB2312"/>
                <w:sz w:val="24"/>
                <w:szCs w:val="24"/>
              </w:rPr>
              <w:t>12月</w:t>
            </w:r>
          </w:p>
        </w:tc>
        <w:tc>
          <w:tcPr>
            <w:tcW w:w="945" w:type="dxa"/>
          </w:tcPr>
          <w:p>
            <w:pPr>
              <w:pStyle w:val="6"/>
              <w:ind w:firstLine="0"/>
              <w:rPr>
                <w:rFonts w:ascii="仿宋_GB2312" w:hAnsi="仿宋_GB2312" w:cs="仿宋_GB2312"/>
                <w:sz w:val="24"/>
                <w:szCs w:val="24"/>
              </w:rPr>
            </w:pPr>
            <w:r>
              <w:rPr>
                <w:rFonts w:hint="eastAsia" w:ascii="仿宋_GB2312" w:hAnsi="仿宋_GB2312" w:cs="仿宋_GB2312"/>
                <w:sz w:val="24"/>
                <w:szCs w:val="24"/>
              </w:rPr>
              <w:t>＝12</w:t>
            </w:r>
          </w:p>
        </w:tc>
        <w:tc>
          <w:tcPr>
            <w:tcW w:w="1140" w:type="dxa"/>
          </w:tcPr>
          <w:p>
            <w:pPr>
              <w:pStyle w:val="6"/>
              <w:ind w:firstLine="0"/>
              <w:rPr>
                <w:rFonts w:ascii="仿宋_GB2312" w:hAnsi="仿宋_GB2312" w:cs="仿宋_GB2312"/>
                <w:sz w:val="24"/>
                <w:szCs w:val="24"/>
              </w:rPr>
            </w:pPr>
            <w:r>
              <w:rPr>
                <w:rFonts w:hint="eastAsia" w:ascii="仿宋_GB2312" w:hAnsi="仿宋_GB2312" w:cs="仿宋_GB2312"/>
                <w:sz w:val="24"/>
                <w:szCs w:val="24"/>
              </w:rPr>
              <w:t>100%</w:t>
            </w:r>
          </w:p>
        </w:tc>
      </w:tr>
    </w:tbl>
    <w:p>
      <w:pPr>
        <w:widowControl/>
        <w:shd w:val="clear" w:color="auto" w:fill="FFFFFF"/>
        <w:spacing w:after="150" w:line="578" w:lineRule="atLeast"/>
        <w:ind w:firstLine="641"/>
        <w:jc w:val="left"/>
        <w:rPr>
          <w:rFonts w:ascii="仿宋_GB2312" w:hAnsi="微软雅黑" w:eastAsia="仿宋_GB2312" w:cs="仿宋_GB2312"/>
          <w:color w:val="333333"/>
          <w:kern w:val="0"/>
          <w:sz w:val="32"/>
          <w:szCs w:val="32"/>
          <w:shd w:val="clear" w:color="auto" w:fill="FFFFFF"/>
          <w:lang w:val="zh-CN"/>
        </w:rPr>
      </w:pPr>
      <w:r>
        <w:rPr>
          <w:rFonts w:hint="eastAsia" w:ascii="仿宋_GB2312" w:hAnsi="微软雅黑" w:eastAsia="仿宋_GB2312" w:cs="仿宋_GB2312"/>
          <w:color w:val="333333"/>
          <w:kern w:val="0"/>
          <w:sz w:val="32"/>
          <w:szCs w:val="32"/>
          <w:shd w:val="clear" w:color="auto" w:fill="FFFFFF"/>
        </w:rPr>
        <w:t>3.</w:t>
      </w:r>
      <w:r>
        <w:rPr>
          <w:rFonts w:hint="eastAsia" w:ascii="仿宋_GB2312" w:hAnsi="微软雅黑" w:eastAsia="仿宋_GB2312" w:cs="仿宋_GB2312"/>
          <w:color w:val="333333"/>
          <w:kern w:val="0"/>
          <w:sz w:val="32"/>
          <w:szCs w:val="32"/>
          <w:shd w:val="clear" w:color="auto" w:fill="FFFFFF"/>
          <w:lang w:val="zh-CN"/>
        </w:rPr>
        <w:t>支出控制</w:t>
      </w:r>
    </w:p>
    <w:p>
      <w:pPr>
        <w:widowControl/>
        <w:shd w:val="clear" w:color="auto" w:fill="FFFFFF"/>
        <w:spacing w:after="150" w:line="578" w:lineRule="atLeast"/>
        <w:ind w:firstLine="641"/>
        <w:jc w:val="left"/>
        <w:rPr>
          <w:rFonts w:ascii="仿宋_GB2312" w:hAnsi="微软雅黑" w:eastAsia="仿宋_GB2312" w:cs="仿宋_GB2312"/>
          <w:color w:val="333333"/>
          <w:kern w:val="0"/>
          <w:sz w:val="32"/>
          <w:szCs w:val="32"/>
          <w:shd w:val="clear" w:color="auto" w:fill="FFFFFF"/>
        </w:rPr>
      </w:pPr>
      <w:r>
        <w:rPr>
          <w:rFonts w:hint="eastAsia" w:ascii="仿宋_GB2312" w:hAnsi="微软雅黑" w:eastAsia="仿宋_GB2312" w:cs="仿宋_GB2312"/>
          <w:color w:val="333333"/>
          <w:kern w:val="0"/>
          <w:sz w:val="32"/>
          <w:szCs w:val="32"/>
          <w:shd w:val="clear" w:color="auto" w:fill="FFFFFF"/>
        </w:rPr>
        <w:t>支出控制较到位。遂宁市减灾中心2022年度办公费的实际支出均未超过年初预算，印刷费、电费、水费年初未独立编制预算，均包含在物业管理费中，整体支出未超出年初预算，无偏差。</w:t>
      </w:r>
    </w:p>
    <w:tbl>
      <w:tblPr>
        <w:tblStyle w:val="16"/>
        <w:tblpPr w:leftFromText="180" w:rightFromText="180" w:vertAnchor="text" w:horzAnchor="page" w:tblpX="1392" w:tblpY="2022"/>
        <w:tblOverlap w:val="never"/>
        <w:tblW w:w="94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7"/>
        <w:gridCol w:w="1857"/>
        <w:gridCol w:w="1857"/>
        <w:gridCol w:w="1180"/>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1" w:type="dxa"/>
            <w:gridSpan w:val="5"/>
          </w:tcPr>
          <w:p>
            <w:pPr>
              <w:pStyle w:val="6"/>
              <w:ind w:firstLine="0"/>
              <w:jc w:val="center"/>
              <w:rPr>
                <w:sz w:val="24"/>
                <w:szCs w:val="24"/>
              </w:rPr>
            </w:pPr>
            <w:r>
              <w:rPr>
                <w:rFonts w:hint="eastAsia"/>
                <w:sz w:val="24"/>
                <w:szCs w:val="24"/>
              </w:rPr>
              <w:t>“办公费、印刷费、水费、电费、物业管理费、维修（护）费、培训费、会议费”8个科目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pPr>
              <w:pStyle w:val="6"/>
              <w:ind w:firstLine="0"/>
              <w:rPr>
                <w:sz w:val="24"/>
                <w:szCs w:val="24"/>
              </w:rPr>
            </w:pPr>
            <w:r>
              <w:rPr>
                <w:rFonts w:hint="eastAsia"/>
                <w:sz w:val="24"/>
                <w:szCs w:val="24"/>
              </w:rPr>
              <w:t>科目名称</w:t>
            </w:r>
          </w:p>
        </w:tc>
        <w:tc>
          <w:tcPr>
            <w:tcW w:w="1857" w:type="dxa"/>
          </w:tcPr>
          <w:p>
            <w:pPr>
              <w:pStyle w:val="6"/>
              <w:ind w:firstLine="0"/>
              <w:rPr>
                <w:sz w:val="24"/>
                <w:szCs w:val="24"/>
              </w:rPr>
            </w:pPr>
            <w:r>
              <w:rPr>
                <w:rFonts w:hint="eastAsia"/>
                <w:sz w:val="24"/>
                <w:szCs w:val="24"/>
              </w:rPr>
              <w:t>年初预算数</w:t>
            </w:r>
          </w:p>
        </w:tc>
        <w:tc>
          <w:tcPr>
            <w:tcW w:w="1857" w:type="dxa"/>
          </w:tcPr>
          <w:p>
            <w:pPr>
              <w:pStyle w:val="6"/>
              <w:ind w:firstLine="0"/>
              <w:rPr>
                <w:sz w:val="24"/>
                <w:szCs w:val="24"/>
              </w:rPr>
            </w:pPr>
            <w:r>
              <w:rPr>
                <w:rFonts w:hint="eastAsia"/>
                <w:sz w:val="24"/>
                <w:szCs w:val="24"/>
              </w:rPr>
              <w:t>决算数</w:t>
            </w:r>
          </w:p>
        </w:tc>
        <w:tc>
          <w:tcPr>
            <w:tcW w:w="1180" w:type="dxa"/>
          </w:tcPr>
          <w:p>
            <w:pPr>
              <w:pStyle w:val="6"/>
              <w:ind w:firstLine="0"/>
              <w:rPr>
                <w:sz w:val="24"/>
                <w:szCs w:val="24"/>
              </w:rPr>
            </w:pPr>
            <w:r>
              <w:rPr>
                <w:rFonts w:hint="eastAsia"/>
                <w:sz w:val="24"/>
                <w:szCs w:val="24"/>
              </w:rPr>
              <w:t>偏差程度</w:t>
            </w:r>
          </w:p>
        </w:tc>
        <w:tc>
          <w:tcPr>
            <w:tcW w:w="2730" w:type="dxa"/>
          </w:tcPr>
          <w:p>
            <w:pPr>
              <w:pStyle w:val="6"/>
              <w:ind w:firstLine="0"/>
              <w:rPr>
                <w:sz w:val="24"/>
                <w:szCs w:val="24"/>
              </w:rPr>
            </w:pPr>
            <w:r>
              <w:rPr>
                <w:rFonts w:hint="eastAsia"/>
                <w:sz w:val="24"/>
                <w:szCs w:val="24"/>
              </w:rPr>
              <w:t>偏差原因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pPr>
              <w:pStyle w:val="6"/>
              <w:ind w:firstLine="0"/>
              <w:rPr>
                <w:sz w:val="24"/>
                <w:szCs w:val="24"/>
              </w:rPr>
            </w:pPr>
            <w:r>
              <w:rPr>
                <w:rFonts w:hint="eastAsia"/>
                <w:sz w:val="24"/>
                <w:szCs w:val="24"/>
              </w:rPr>
              <w:t>办公费</w:t>
            </w:r>
          </w:p>
        </w:tc>
        <w:tc>
          <w:tcPr>
            <w:tcW w:w="1857" w:type="dxa"/>
          </w:tcPr>
          <w:p>
            <w:pPr>
              <w:pStyle w:val="6"/>
              <w:ind w:firstLine="0"/>
              <w:rPr>
                <w:sz w:val="24"/>
                <w:szCs w:val="24"/>
              </w:rPr>
            </w:pPr>
            <w:r>
              <w:rPr>
                <w:rFonts w:hint="eastAsia"/>
                <w:sz w:val="24"/>
                <w:szCs w:val="24"/>
              </w:rPr>
              <w:t>7.69</w:t>
            </w:r>
          </w:p>
        </w:tc>
        <w:tc>
          <w:tcPr>
            <w:tcW w:w="1857" w:type="dxa"/>
          </w:tcPr>
          <w:p>
            <w:pPr>
              <w:pStyle w:val="6"/>
              <w:ind w:firstLine="0"/>
              <w:rPr>
                <w:sz w:val="24"/>
                <w:szCs w:val="24"/>
              </w:rPr>
            </w:pPr>
            <w:r>
              <w:rPr>
                <w:rFonts w:hint="eastAsia"/>
                <w:sz w:val="24"/>
                <w:szCs w:val="24"/>
              </w:rPr>
              <w:t>4.18</w:t>
            </w:r>
          </w:p>
        </w:tc>
        <w:tc>
          <w:tcPr>
            <w:tcW w:w="1180" w:type="dxa"/>
          </w:tcPr>
          <w:p>
            <w:pPr>
              <w:pStyle w:val="6"/>
              <w:ind w:firstLine="0"/>
              <w:rPr>
                <w:sz w:val="24"/>
                <w:szCs w:val="24"/>
              </w:rPr>
            </w:pPr>
          </w:p>
        </w:tc>
        <w:tc>
          <w:tcPr>
            <w:tcW w:w="2730" w:type="dxa"/>
          </w:tcPr>
          <w:p>
            <w:pPr>
              <w:pStyle w:val="6"/>
              <w:ind w:firstLine="0"/>
              <w:rPr>
                <w:sz w:val="24"/>
                <w:szCs w:val="24"/>
              </w:rPr>
            </w:pPr>
            <w:r>
              <w:rPr>
                <w:rFonts w:hint="eastAsia"/>
                <w:sz w:val="24"/>
                <w:szCs w:val="24"/>
              </w:rPr>
              <w:t>提前关闭支付通道，导致部分费用无法支付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pPr>
              <w:pStyle w:val="6"/>
              <w:ind w:firstLine="0"/>
              <w:rPr>
                <w:sz w:val="24"/>
                <w:szCs w:val="24"/>
              </w:rPr>
            </w:pPr>
            <w:r>
              <w:rPr>
                <w:rFonts w:hint="eastAsia"/>
                <w:sz w:val="24"/>
                <w:szCs w:val="24"/>
              </w:rPr>
              <w:t>印刷费</w:t>
            </w:r>
          </w:p>
        </w:tc>
        <w:tc>
          <w:tcPr>
            <w:tcW w:w="1857" w:type="dxa"/>
          </w:tcPr>
          <w:p>
            <w:pPr>
              <w:pStyle w:val="6"/>
              <w:ind w:firstLine="0"/>
              <w:rPr>
                <w:sz w:val="24"/>
                <w:szCs w:val="24"/>
              </w:rPr>
            </w:pPr>
            <w:r>
              <w:rPr>
                <w:rFonts w:hint="eastAsia"/>
                <w:sz w:val="24"/>
                <w:szCs w:val="24"/>
              </w:rPr>
              <w:t>0</w:t>
            </w:r>
          </w:p>
        </w:tc>
        <w:tc>
          <w:tcPr>
            <w:tcW w:w="1857" w:type="dxa"/>
          </w:tcPr>
          <w:p>
            <w:pPr>
              <w:pStyle w:val="6"/>
              <w:ind w:firstLine="0"/>
              <w:rPr>
                <w:sz w:val="24"/>
                <w:szCs w:val="24"/>
              </w:rPr>
            </w:pPr>
            <w:r>
              <w:rPr>
                <w:rFonts w:hint="eastAsia"/>
                <w:sz w:val="24"/>
                <w:szCs w:val="24"/>
              </w:rPr>
              <w:t>0</w:t>
            </w:r>
          </w:p>
        </w:tc>
        <w:tc>
          <w:tcPr>
            <w:tcW w:w="1180" w:type="dxa"/>
          </w:tcPr>
          <w:p>
            <w:pPr>
              <w:pStyle w:val="6"/>
              <w:ind w:firstLine="0"/>
              <w:rPr>
                <w:sz w:val="24"/>
                <w:szCs w:val="24"/>
              </w:rPr>
            </w:pPr>
            <w:r>
              <w:rPr>
                <w:rFonts w:hint="eastAsia"/>
                <w:sz w:val="24"/>
                <w:szCs w:val="24"/>
              </w:rPr>
              <w:t>0</w:t>
            </w:r>
          </w:p>
        </w:tc>
        <w:tc>
          <w:tcPr>
            <w:tcW w:w="2730" w:type="dxa"/>
          </w:tcPr>
          <w:p>
            <w:pPr>
              <w:pStyle w:val="6"/>
              <w:ind w:firstLine="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pPr>
              <w:pStyle w:val="6"/>
              <w:ind w:firstLine="0"/>
              <w:rPr>
                <w:sz w:val="24"/>
                <w:szCs w:val="24"/>
              </w:rPr>
            </w:pPr>
            <w:r>
              <w:rPr>
                <w:rFonts w:hint="eastAsia"/>
                <w:sz w:val="24"/>
                <w:szCs w:val="24"/>
              </w:rPr>
              <w:t>水费</w:t>
            </w:r>
          </w:p>
        </w:tc>
        <w:tc>
          <w:tcPr>
            <w:tcW w:w="1857" w:type="dxa"/>
          </w:tcPr>
          <w:p>
            <w:pPr>
              <w:pStyle w:val="6"/>
              <w:ind w:firstLine="0"/>
              <w:rPr>
                <w:sz w:val="24"/>
                <w:szCs w:val="24"/>
              </w:rPr>
            </w:pPr>
            <w:r>
              <w:rPr>
                <w:rFonts w:hint="eastAsia"/>
                <w:sz w:val="24"/>
                <w:szCs w:val="24"/>
              </w:rPr>
              <w:t>0</w:t>
            </w:r>
          </w:p>
        </w:tc>
        <w:tc>
          <w:tcPr>
            <w:tcW w:w="1857" w:type="dxa"/>
          </w:tcPr>
          <w:p>
            <w:pPr>
              <w:pStyle w:val="6"/>
              <w:ind w:firstLine="0"/>
              <w:rPr>
                <w:sz w:val="24"/>
                <w:szCs w:val="24"/>
              </w:rPr>
            </w:pPr>
            <w:r>
              <w:rPr>
                <w:rFonts w:hint="eastAsia"/>
                <w:sz w:val="24"/>
                <w:szCs w:val="24"/>
              </w:rPr>
              <w:t>0.11</w:t>
            </w:r>
          </w:p>
        </w:tc>
        <w:tc>
          <w:tcPr>
            <w:tcW w:w="1180" w:type="dxa"/>
          </w:tcPr>
          <w:p>
            <w:pPr>
              <w:pStyle w:val="6"/>
              <w:ind w:firstLine="0"/>
              <w:rPr>
                <w:sz w:val="24"/>
                <w:szCs w:val="24"/>
              </w:rPr>
            </w:pPr>
            <w:r>
              <w:rPr>
                <w:rFonts w:hint="eastAsia"/>
                <w:sz w:val="24"/>
                <w:szCs w:val="24"/>
              </w:rPr>
              <w:t>0.11</w:t>
            </w:r>
          </w:p>
        </w:tc>
        <w:tc>
          <w:tcPr>
            <w:tcW w:w="2730" w:type="dxa"/>
          </w:tcPr>
          <w:p>
            <w:pPr>
              <w:pStyle w:val="6"/>
              <w:ind w:firstLine="0"/>
              <w:rPr>
                <w:sz w:val="24"/>
                <w:szCs w:val="24"/>
              </w:rPr>
            </w:pPr>
            <w:r>
              <w:rPr>
                <w:rFonts w:hint="eastAsia"/>
                <w:sz w:val="24"/>
                <w:szCs w:val="24"/>
              </w:rPr>
              <w:t>预算在物业管理费中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pPr>
              <w:pStyle w:val="6"/>
              <w:ind w:firstLine="0"/>
              <w:rPr>
                <w:sz w:val="24"/>
                <w:szCs w:val="24"/>
              </w:rPr>
            </w:pPr>
            <w:r>
              <w:rPr>
                <w:rFonts w:hint="eastAsia"/>
                <w:sz w:val="24"/>
                <w:szCs w:val="24"/>
              </w:rPr>
              <w:t>电费</w:t>
            </w:r>
          </w:p>
        </w:tc>
        <w:tc>
          <w:tcPr>
            <w:tcW w:w="1857" w:type="dxa"/>
          </w:tcPr>
          <w:p>
            <w:pPr>
              <w:pStyle w:val="6"/>
              <w:ind w:firstLine="0"/>
              <w:rPr>
                <w:sz w:val="24"/>
                <w:szCs w:val="24"/>
              </w:rPr>
            </w:pPr>
            <w:r>
              <w:rPr>
                <w:rFonts w:hint="eastAsia"/>
                <w:sz w:val="24"/>
                <w:szCs w:val="24"/>
              </w:rPr>
              <w:t>0</w:t>
            </w:r>
          </w:p>
        </w:tc>
        <w:tc>
          <w:tcPr>
            <w:tcW w:w="1857" w:type="dxa"/>
          </w:tcPr>
          <w:p>
            <w:pPr>
              <w:pStyle w:val="6"/>
              <w:ind w:firstLine="0"/>
              <w:rPr>
                <w:sz w:val="24"/>
                <w:szCs w:val="24"/>
              </w:rPr>
            </w:pPr>
            <w:r>
              <w:rPr>
                <w:rFonts w:hint="eastAsia"/>
                <w:sz w:val="24"/>
                <w:szCs w:val="24"/>
              </w:rPr>
              <w:t>0</w:t>
            </w:r>
          </w:p>
        </w:tc>
        <w:tc>
          <w:tcPr>
            <w:tcW w:w="1180" w:type="dxa"/>
          </w:tcPr>
          <w:p>
            <w:pPr>
              <w:pStyle w:val="6"/>
              <w:ind w:firstLine="0"/>
              <w:rPr>
                <w:sz w:val="24"/>
                <w:szCs w:val="24"/>
              </w:rPr>
            </w:pPr>
            <w:r>
              <w:rPr>
                <w:rFonts w:hint="eastAsia"/>
                <w:sz w:val="24"/>
                <w:szCs w:val="24"/>
              </w:rPr>
              <w:t>0</w:t>
            </w:r>
          </w:p>
        </w:tc>
        <w:tc>
          <w:tcPr>
            <w:tcW w:w="2730" w:type="dxa"/>
          </w:tcPr>
          <w:p>
            <w:pPr>
              <w:pStyle w:val="6"/>
              <w:ind w:firstLine="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pPr>
              <w:pStyle w:val="6"/>
              <w:ind w:firstLine="0"/>
              <w:rPr>
                <w:sz w:val="24"/>
                <w:szCs w:val="24"/>
              </w:rPr>
            </w:pPr>
            <w:r>
              <w:rPr>
                <w:rFonts w:hint="eastAsia"/>
                <w:sz w:val="24"/>
                <w:szCs w:val="24"/>
              </w:rPr>
              <w:t>物业管理费</w:t>
            </w:r>
          </w:p>
        </w:tc>
        <w:tc>
          <w:tcPr>
            <w:tcW w:w="1857" w:type="dxa"/>
          </w:tcPr>
          <w:p>
            <w:pPr>
              <w:pStyle w:val="6"/>
              <w:ind w:firstLine="0"/>
              <w:rPr>
                <w:sz w:val="24"/>
                <w:szCs w:val="24"/>
              </w:rPr>
            </w:pPr>
            <w:r>
              <w:rPr>
                <w:rFonts w:hint="eastAsia"/>
                <w:sz w:val="24"/>
                <w:szCs w:val="24"/>
              </w:rPr>
              <w:t>8</w:t>
            </w:r>
          </w:p>
        </w:tc>
        <w:tc>
          <w:tcPr>
            <w:tcW w:w="1857" w:type="dxa"/>
          </w:tcPr>
          <w:p>
            <w:pPr>
              <w:pStyle w:val="6"/>
              <w:ind w:firstLine="0"/>
              <w:rPr>
                <w:sz w:val="24"/>
                <w:szCs w:val="24"/>
              </w:rPr>
            </w:pPr>
            <w:r>
              <w:rPr>
                <w:rFonts w:hint="eastAsia"/>
                <w:sz w:val="24"/>
                <w:szCs w:val="24"/>
              </w:rPr>
              <w:t>3.82</w:t>
            </w:r>
          </w:p>
        </w:tc>
        <w:tc>
          <w:tcPr>
            <w:tcW w:w="1180" w:type="dxa"/>
          </w:tcPr>
          <w:p>
            <w:pPr>
              <w:pStyle w:val="6"/>
              <w:ind w:firstLine="0"/>
              <w:rPr>
                <w:sz w:val="24"/>
                <w:szCs w:val="24"/>
              </w:rPr>
            </w:pPr>
            <w:r>
              <w:rPr>
                <w:rFonts w:hint="eastAsia"/>
                <w:sz w:val="24"/>
                <w:szCs w:val="24"/>
              </w:rPr>
              <w:t>4.18</w:t>
            </w:r>
          </w:p>
        </w:tc>
        <w:tc>
          <w:tcPr>
            <w:tcW w:w="2730" w:type="dxa"/>
          </w:tcPr>
          <w:p>
            <w:pPr>
              <w:pStyle w:val="6"/>
              <w:ind w:firstLine="0"/>
              <w:rPr>
                <w:sz w:val="24"/>
                <w:szCs w:val="24"/>
              </w:rPr>
            </w:pPr>
            <w:r>
              <w:rPr>
                <w:rFonts w:hint="eastAsia"/>
                <w:sz w:val="24"/>
                <w:szCs w:val="24"/>
              </w:rPr>
              <w:t>提前关闭支付通道，导致部分费用无法支付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pPr>
              <w:pStyle w:val="6"/>
              <w:ind w:firstLine="0"/>
              <w:rPr>
                <w:sz w:val="24"/>
                <w:szCs w:val="24"/>
              </w:rPr>
            </w:pPr>
            <w:r>
              <w:rPr>
                <w:rFonts w:hint="eastAsia"/>
                <w:sz w:val="24"/>
                <w:szCs w:val="24"/>
              </w:rPr>
              <w:t>维修（护）费</w:t>
            </w:r>
          </w:p>
        </w:tc>
        <w:tc>
          <w:tcPr>
            <w:tcW w:w="1857" w:type="dxa"/>
          </w:tcPr>
          <w:p>
            <w:pPr>
              <w:pStyle w:val="6"/>
              <w:ind w:firstLine="0"/>
              <w:rPr>
                <w:sz w:val="24"/>
                <w:szCs w:val="24"/>
              </w:rPr>
            </w:pPr>
            <w:r>
              <w:rPr>
                <w:rFonts w:hint="eastAsia"/>
                <w:sz w:val="24"/>
                <w:szCs w:val="24"/>
              </w:rPr>
              <w:t>16.79</w:t>
            </w:r>
          </w:p>
        </w:tc>
        <w:tc>
          <w:tcPr>
            <w:tcW w:w="1857" w:type="dxa"/>
          </w:tcPr>
          <w:p>
            <w:pPr>
              <w:pStyle w:val="6"/>
              <w:ind w:firstLine="0"/>
              <w:rPr>
                <w:sz w:val="24"/>
                <w:szCs w:val="24"/>
              </w:rPr>
            </w:pPr>
            <w:r>
              <w:rPr>
                <w:rFonts w:hint="eastAsia"/>
                <w:sz w:val="24"/>
                <w:szCs w:val="24"/>
              </w:rPr>
              <w:t>11.94</w:t>
            </w:r>
          </w:p>
        </w:tc>
        <w:tc>
          <w:tcPr>
            <w:tcW w:w="1180" w:type="dxa"/>
          </w:tcPr>
          <w:p>
            <w:pPr>
              <w:pStyle w:val="6"/>
              <w:ind w:firstLine="0"/>
              <w:rPr>
                <w:sz w:val="24"/>
                <w:szCs w:val="24"/>
              </w:rPr>
            </w:pPr>
            <w:r>
              <w:rPr>
                <w:rFonts w:hint="eastAsia"/>
                <w:sz w:val="24"/>
                <w:szCs w:val="24"/>
              </w:rPr>
              <w:t>4.85</w:t>
            </w:r>
          </w:p>
        </w:tc>
        <w:tc>
          <w:tcPr>
            <w:tcW w:w="2730" w:type="dxa"/>
          </w:tcPr>
          <w:p>
            <w:pPr>
              <w:pStyle w:val="6"/>
              <w:ind w:firstLine="0"/>
              <w:rPr>
                <w:sz w:val="24"/>
                <w:szCs w:val="24"/>
              </w:rPr>
            </w:pPr>
            <w:r>
              <w:rPr>
                <w:rFonts w:hint="eastAsia"/>
                <w:sz w:val="24"/>
                <w:szCs w:val="24"/>
              </w:rPr>
              <w:t>本着节约成本，严格控制维修结算费用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pPr>
              <w:pStyle w:val="6"/>
              <w:ind w:firstLine="0"/>
              <w:rPr>
                <w:sz w:val="24"/>
                <w:szCs w:val="24"/>
              </w:rPr>
            </w:pPr>
            <w:r>
              <w:rPr>
                <w:rFonts w:hint="eastAsia"/>
                <w:sz w:val="24"/>
                <w:szCs w:val="24"/>
              </w:rPr>
              <w:t>培训费</w:t>
            </w:r>
          </w:p>
        </w:tc>
        <w:tc>
          <w:tcPr>
            <w:tcW w:w="1857" w:type="dxa"/>
          </w:tcPr>
          <w:p>
            <w:pPr>
              <w:pStyle w:val="6"/>
              <w:ind w:firstLine="0"/>
              <w:rPr>
                <w:sz w:val="24"/>
                <w:szCs w:val="24"/>
              </w:rPr>
            </w:pPr>
            <w:r>
              <w:rPr>
                <w:rFonts w:hint="eastAsia"/>
                <w:sz w:val="24"/>
                <w:szCs w:val="24"/>
              </w:rPr>
              <w:t>0.84</w:t>
            </w:r>
          </w:p>
        </w:tc>
        <w:tc>
          <w:tcPr>
            <w:tcW w:w="1857" w:type="dxa"/>
          </w:tcPr>
          <w:p>
            <w:pPr>
              <w:pStyle w:val="6"/>
              <w:ind w:firstLine="0"/>
              <w:rPr>
                <w:sz w:val="24"/>
                <w:szCs w:val="24"/>
              </w:rPr>
            </w:pPr>
            <w:r>
              <w:rPr>
                <w:rFonts w:hint="eastAsia"/>
                <w:sz w:val="24"/>
                <w:szCs w:val="24"/>
              </w:rPr>
              <w:t>0</w:t>
            </w:r>
          </w:p>
        </w:tc>
        <w:tc>
          <w:tcPr>
            <w:tcW w:w="1180" w:type="dxa"/>
          </w:tcPr>
          <w:p>
            <w:pPr>
              <w:pStyle w:val="6"/>
              <w:ind w:firstLine="0"/>
              <w:rPr>
                <w:sz w:val="24"/>
                <w:szCs w:val="24"/>
              </w:rPr>
            </w:pPr>
            <w:r>
              <w:rPr>
                <w:rFonts w:hint="eastAsia"/>
                <w:sz w:val="24"/>
                <w:szCs w:val="24"/>
              </w:rPr>
              <w:t>7.81</w:t>
            </w:r>
          </w:p>
        </w:tc>
        <w:tc>
          <w:tcPr>
            <w:tcW w:w="2730" w:type="dxa"/>
          </w:tcPr>
          <w:p>
            <w:pPr>
              <w:pStyle w:val="6"/>
              <w:ind w:firstLine="0"/>
              <w:rPr>
                <w:sz w:val="24"/>
                <w:szCs w:val="24"/>
              </w:rPr>
            </w:pPr>
            <w:r>
              <w:rPr>
                <w:rFonts w:hint="eastAsia"/>
                <w:sz w:val="24"/>
                <w:szCs w:val="24"/>
              </w:rPr>
              <w:t>本年度无培训费用产生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pPr>
              <w:pStyle w:val="6"/>
              <w:ind w:firstLine="0"/>
              <w:rPr>
                <w:sz w:val="24"/>
                <w:szCs w:val="24"/>
              </w:rPr>
            </w:pPr>
            <w:r>
              <w:rPr>
                <w:rFonts w:hint="eastAsia"/>
                <w:sz w:val="24"/>
                <w:szCs w:val="24"/>
              </w:rPr>
              <w:t>会议费</w:t>
            </w:r>
          </w:p>
        </w:tc>
        <w:tc>
          <w:tcPr>
            <w:tcW w:w="1857" w:type="dxa"/>
          </w:tcPr>
          <w:p>
            <w:pPr>
              <w:pStyle w:val="6"/>
              <w:ind w:firstLine="0"/>
              <w:rPr>
                <w:sz w:val="24"/>
                <w:szCs w:val="24"/>
              </w:rPr>
            </w:pPr>
            <w:r>
              <w:rPr>
                <w:rFonts w:hint="eastAsia"/>
                <w:sz w:val="24"/>
                <w:szCs w:val="24"/>
              </w:rPr>
              <w:t>0</w:t>
            </w:r>
          </w:p>
        </w:tc>
        <w:tc>
          <w:tcPr>
            <w:tcW w:w="1857" w:type="dxa"/>
          </w:tcPr>
          <w:p>
            <w:pPr>
              <w:pStyle w:val="6"/>
              <w:ind w:firstLine="0"/>
              <w:rPr>
                <w:sz w:val="24"/>
                <w:szCs w:val="24"/>
              </w:rPr>
            </w:pPr>
            <w:r>
              <w:rPr>
                <w:rFonts w:hint="eastAsia"/>
                <w:sz w:val="24"/>
                <w:szCs w:val="24"/>
              </w:rPr>
              <w:t>0</w:t>
            </w:r>
          </w:p>
        </w:tc>
        <w:tc>
          <w:tcPr>
            <w:tcW w:w="1180" w:type="dxa"/>
          </w:tcPr>
          <w:p>
            <w:pPr>
              <w:pStyle w:val="6"/>
              <w:ind w:firstLine="0"/>
              <w:rPr>
                <w:sz w:val="24"/>
                <w:szCs w:val="24"/>
              </w:rPr>
            </w:pPr>
            <w:r>
              <w:rPr>
                <w:rFonts w:hint="eastAsia"/>
                <w:sz w:val="24"/>
                <w:szCs w:val="24"/>
              </w:rPr>
              <w:t>0</w:t>
            </w:r>
          </w:p>
        </w:tc>
        <w:tc>
          <w:tcPr>
            <w:tcW w:w="2730" w:type="dxa"/>
          </w:tcPr>
          <w:p>
            <w:pPr>
              <w:pStyle w:val="6"/>
              <w:ind w:firstLine="0"/>
              <w:rPr>
                <w:sz w:val="24"/>
                <w:szCs w:val="24"/>
              </w:rPr>
            </w:pPr>
          </w:p>
        </w:tc>
      </w:tr>
    </w:tbl>
    <w:p>
      <w:pPr>
        <w:widowControl/>
        <w:shd w:val="clear" w:color="auto" w:fill="FFFFFF"/>
        <w:spacing w:after="150" w:line="578" w:lineRule="exact"/>
        <w:ind w:firstLine="640"/>
        <w:jc w:val="left"/>
      </w:pPr>
      <w:r>
        <w:rPr>
          <w:rFonts w:hint="eastAsia" w:ascii="仿宋_GB2312" w:hAnsi="微软雅黑" w:eastAsia="仿宋_GB2312" w:cs="仿宋_GB2312"/>
          <w:color w:val="333333"/>
          <w:kern w:val="0"/>
          <w:sz w:val="32"/>
          <w:szCs w:val="32"/>
          <w:shd w:val="clear" w:color="auto" w:fill="FFFFFF"/>
        </w:rPr>
        <w:t>根据我单位实际情况，对单位预算进行动态调整，严格按照预算追加流程要求，部门对预算资金及时清收，绩效运行进度较可控。</w:t>
      </w:r>
    </w:p>
    <w:p>
      <w:pPr>
        <w:widowControl/>
        <w:shd w:val="clear" w:color="auto" w:fill="FFFFFF"/>
        <w:spacing w:after="150" w:line="578" w:lineRule="exact"/>
        <w:ind w:firstLine="640"/>
        <w:jc w:val="left"/>
        <w:rPr>
          <w:rFonts w:ascii="仿宋_GB2312" w:hAnsi="微软雅黑" w:eastAsia="仿宋_GB2312" w:cs="仿宋_GB2312"/>
          <w:color w:val="333333"/>
          <w:kern w:val="0"/>
          <w:sz w:val="32"/>
          <w:szCs w:val="32"/>
          <w:shd w:val="clear" w:color="auto" w:fill="FFFFFF"/>
          <w:lang w:val="zh-CN"/>
        </w:rPr>
      </w:pPr>
      <w:r>
        <w:rPr>
          <w:rFonts w:hint="eastAsia" w:ascii="仿宋_GB2312" w:hAnsi="微软雅黑" w:eastAsia="仿宋_GB2312" w:cs="仿宋_GB2312"/>
          <w:color w:val="333333"/>
          <w:kern w:val="0"/>
          <w:sz w:val="32"/>
          <w:szCs w:val="32"/>
          <w:shd w:val="clear" w:color="auto" w:fill="FFFFFF"/>
        </w:rPr>
        <w:t>4.</w:t>
      </w:r>
      <w:r>
        <w:rPr>
          <w:rFonts w:hint="eastAsia" w:ascii="仿宋_GB2312" w:hAnsi="微软雅黑" w:eastAsia="仿宋_GB2312" w:cs="仿宋_GB2312"/>
          <w:color w:val="333333"/>
          <w:kern w:val="0"/>
          <w:sz w:val="32"/>
          <w:szCs w:val="32"/>
          <w:shd w:val="clear" w:color="auto" w:fill="FFFFFF"/>
          <w:lang w:val="zh-CN"/>
        </w:rPr>
        <w:t>及时处置</w:t>
      </w:r>
    </w:p>
    <w:p>
      <w:pPr>
        <w:widowControl/>
        <w:shd w:val="clear" w:color="auto" w:fill="FFFFFF"/>
        <w:spacing w:after="150" w:line="578" w:lineRule="exact"/>
        <w:ind w:firstLine="640"/>
        <w:jc w:val="left"/>
        <w:rPr>
          <w:rFonts w:ascii="仿宋_GB2312" w:hAnsi="微软雅黑" w:eastAsia="仿宋_GB2312" w:cs="仿宋_GB2312"/>
          <w:color w:val="333333"/>
          <w:kern w:val="0"/>
          <w:sz w:val="32"/>
          <w:szCs w:val="32"/>
          <w:shd w:val="clear" w:color="auto" w:fill="FFFFFF"/>
        </w:rPr>
      </w:pPr>
      <w:r>
        <w:rPr>
          <w:rFonts w:hint="eastAsia" w:ascii="仿宋_GB2312" w:hAnsi="微软雅黑" w:eastAsia="仿宋_GB2312" w:cs="仿宋_GB2312"/>
          <w:color w:val="333333"/>
          <w:kern w:val="0"/>
          <w:sz w:val="32"/>
          <w:szCs w:val="32"/>
          <w:shd w:val="clear" w:color="auto" w:fill="FFFFFF"/>
          <w:lang w:val="zh-CN"/>
        </w:rPr>
        <w:t>本单位按要求及时开展绩效运行监控。</w:t>
      </w:r>
      <w:r>
        <w:rPr>
          <w:rFonts w:hint="eastAsia" w:ascii="仿宋_GB2312" w:hAnsi="微软雅黑" w:eastAsia="仿宋_GB2312" w:cs="仿宋_GB2312"/>
          <w:color w:val="333333"/>
          <w:kern w:val="0"/>
          <w:sz w:val="32"/>
          <w:szCs w:val="32"/>
          <w:shd w:val="clear" w:color="auto" w:fill="FFFFFF"/>
        </w:rPr>
        <w:t>2022年，</w:t>
      </w:r>
      <w:r>
        <w:rPr>
          <w:rFonts w:hint="eastAsia" w:ascii="仿宋_GB2312" w:hAnsi="微软雅黑" w:eastAsia="仿宋_GB2312" w:cs="仿宋_GB2312"/>
          <w:color w:val="333333"/>
          <w:kern w:val="0"/>
          <w:sz w:val="32"/>
          <w:szCs w:val="32"/>
          <w:shd w:val="clear" w:color="auto" w:fill="FFFFFF"/>
          <w:lang w:val="zh-CN"/>
        </w:rPr>
        <w:t>没有绩效监控调整取消额和预算结余注销额。</w:t>
      </w:r>
    </w:p>
    <w:p>
      <w:pPr>
        <w:widowControl/>
        <w:shd w:val="clear" w:color="auto" w:fill="FFFFFF"/>
        <w:spacing w:after="150" w:line="578" w:lineRule="exact"/>
        <w:ind w:firstLine="640"/>
        <w:jc w:val="left"/>
        <w:rPr>
          <w:rFonts w:ascii="仿宋_GB2312" w:hAnsi="微软雅黑" w:eastAsia="仿宋_GB2312" w:cs="仿宋_GB2312"/>
          <w:color w:val="333333"/>
          <w:kern w:val="0"/>
          <w:sz w:val="32"/>
          <w:szCs w:val="32"/>
          <w:shd w:val="clear" w:color="auto" w:fill="FFFFFF"/>
          <w:lang w:val="zh-CN"/>
        </w:rPr>
      </w:pPr>
      <w:r>
        <w:rPr>
          <w:rFonts w:hint="eastAsia" w:ascii="仿宋_GB2312" w:hAnsi="微软雅黑" w:eastAsia="仿宋_GB2312" w:cs="仿宋_GB2312"/>
          <w:color w:val="333333"/>
          <w:kern w:val="0"/>
          <w:sz w:val="32"/>
          <w:szCs w:val="32"/>
          <w:shd w:val="clear" w:color="auto" w:fill="FFFFFF"/>
        </w:rPr>
        <w:t>5.</w:t>
      </w:r>
      <w:r>
        <w:rPr>
          <w:rFonts w:hint="eastAsia" w:ascii="仿宋_GB2312" w:hAnsi="微软雅黑" w:eastAsia="仿宋_GB2312" w:cs="仿宋_GB2312"/>
          <w:color w:val="333333"/>
          <w:kern w:val="0"/>
          <w:sz w:val="32"/>
          <w:szCs w:val="32"/>
          <w:shd w:val="clear" w:color="auto" w:fill="FFFFFF"/>
          <w:lang w:val="zh-CN"/>
        </w:rPr>
        <w:t>执行进度</w:t>
      </w:r>
    </w:p>
    <w:p>
      <w:pPr>
        <w:widowControl/>
        <w:shd w:val="clear" w:color="auto" w:fill="FFFFFF"/>
        <w:spacing w:after="150" w:line="578" w:lineRule="exact"/>
        <w:ind w:firstLine="640"/>
        <w:jc w:val="left"/>
        <w:rPr>
          <w:rFonts w:ascii="仿宋_GB2312" w:hAnsi="微软雅黑" w:eastAsia="仿宋_GB2312" w:cs="仿宋_GB2312"/>
          <w:color w:val="333333"/>
          <w:kern w:val="0"/>
          <w:sz w:val="32"/>
          <w:szCs w:val="32"/>
          <w:shd w:val="clear" w:color="auto" w:fill="FFFFFF"/>
          <w:lang w:val="zh-CN"/>
        </w:rPr>
      </w:pPr>
      <w:r>
        <w:rPr>
          <w:rFonts w:hint="eastAsia" w:ascii="仿宋_GB2312" w:hAnsi="微软雅黑" w:eastAsia="仿宋_GB2312" w:cs="仿宋_GB2312"/>
          <w:color w:val="333333"/>
          <w:kern w:val="0"/>
          <w:sz w:val="32"/>
          <w:szCs w:val="32"/>
          <w:shd w:val="clear" w:color="auto" w:fill="FFFFFF"/>
          <w:lang w:val="zh-CN"/>
        </w:rPr>
        <w:t>本单位6、9、11、</w:t>
      </w:r>
      <w:r>
        <w:rPr>
          <w:rFonts w:hint="eastAsia" w:ascii="仿宋_GB2312" w:hAnsi="微软雅黑" w:eastAsia="仿宋_GB2312" w:cs="仿宋_GB2312"/>
          <w:color w:val="333333"/>
          <w:kern w:val="0"/>
          <w:sz w:val="32"/>
          <w:szCs w:val="32"/>
          <w:shd w:val="clear" w:color="auto" w:fill="FFFFFF"/>
        </w:rPr>
        <w:t>12</w:t>
      </w:r>
      <w:r>
        <w:rPr>
          <w:rFonts w:hint="eastAsia" w:ascii="仿宋_GB2312" w:hAnsi="微软雅黑" w:eastAsia="仿宋_GB2312" w:cs="仿宋_GB2312"/>
          <w:color w:val="333333"/>
          <w:kern w:val="0"/>
          <w:sz w:val="32"/>
          <w:szCs w:val="32"/>
          <w:shd w:val="clear" w:color="auto" w:fill="FFFFFF"/>
          <w:lang w:val="zh-CN"/>
        </w:rPr>
        <w:t>月的实际支出进度分别为</w:t>
      </w:r>
      <w:r>
        <w:rPr>
          <w:rFonts w:hint="eastAsia" w:ascii="仿宋_GB2312" w:hAnsi="微软雅黑" w:eastAsia="仿宋_GB2312" w:cs="仿宋_GB2312"/>
          <w:color w:val="333333"/>
          <w:kern w:val="0"/>
          <w:sz w:val="32"/>
          <w:szCs w:val="32"/>
          <w:shd w:val="clear" w:color="auto" w:fill="FFFFFF"/>
        </w:rPr>
        <w:t>46.00</w:t>
      </w:r>
      <w:r>
        <w:rPr>
          <w:rFonts w:hint="eastAsia" w:ascii="仿宋_GB2312" w:hAnsi="微软雅黑" w:eastAsia="仿宋_GB2312" w:cs="仿宋_GB2312"/>
          <w:color w:val="333333"/>
          <w:kern w:val="0"/>
          <w:sz w:val="32"/>
          <w:szCs w:val="32"/>
          <w:shd w:val="clear" w:color="auto" w:fill="FFFFFF"/>
          <w:lang w:val="zh-CN"/>
        </w:rPr>
        <w:t>%、</w:t>
      </w:r>
      <w:r>
        <w:rPr>
          <w:rFonts w:hint="eastAsia" w:ascii="仿宋_GB2312" w:hAnsi="微软雅黑" w:eastAsia="仿宋_GB2312" w:cs="仿宋_GB2312"/>
          <w:color w:val="333333"/>
          <w:kern w:val="0"/>
          <w:sz w:val="32"/>
          <w:szCs w:val="32"/>
          <w:shd w:val="clear" w:color="auto" w:fill="FFFFFF"/>
        </w:rPr>
        <w:t>66.80</w:t>
      </w:r>
      <w:r>
        <w:rPr>
          <w:rFonts w:hint="eastAsia" w:ascii="仿宋_GB2312" w:hAnsi="微软雅黑" w:eastAsia="仿宋_GB2312" w:cs="仿宋_GB2312"/>
          <w:color w:val="333333"/>
          <w:kern w:val="0"/>
          <w:sz w:val="32"/>
          <w:szCs w:val="32"/>
          <w:shd w:val="clear" w:color="auto" w:fill="FFFFFF"/>
          <w:lang w:val="zh-CN"/>
        </w:rPr>
        <w:t>%、</w:t>
      </w:r>
      <w:r>
        <w:rPr>
          <w:rFonts w:hint="eastAsia" w:ascii="仿宋_GB2312" w:hAnsi="微软雅黑" w:eastAsia="仿宋_GB2312" w:cs="仿宋_GB2312"/>
          <w:color w:val="333333"/>
          <w:kern w:val="0"/>
          <w:sz w:val="32"/>
          <w:szCs w:val="32"/>
          <w:shd w:val="clear" w:color="auto" w:fill="FFFFFF"/>
        </w:rPr>
        <w:t>79.5</w:t>
      </w:r>
      <w:r>
        <w:rPr>
          <w:rFonts w:hint="eastAsia" w:ascii="仿宋_GB2312" w:hAnsi="微软雅黑" w:eastAsia="仿宋_GB2312" w:cs="仿宋_GB2312"/>
          <w:color w:val="333333"/>
          <w:kern w:val="0"/>
          <w:sz w:val="32"/>
          <w:szCs w:val="32"/>
          <w:shd w:val="clear" w:color="auto" w:fill="FFFFFF"/>
          <w:lang w:val="zh-CN"/>
        </w:rPr>
        <w:t>%、</w:t>
      </w:r>
      <w:r>
        <w:rPr>
          <w:rFonts w:hint="eastAsia" w:ascii="仿宋_GB2312" w:hAnsi="微软雅黑" w:eastAsia="仿宋_GB2312" w:cs="仿宋_GB2312"/>
          <w:color w:val="333333"/>
          <w:kern w:val="0"/>
          <w:sz w:val="32"/>
          <w:szCs w:val="32"/>
          <w:shd w:val="clear" w:color="auto" w:fill="FFFFFF"/>
        </w:rPr>
        <w:t>90.97%</w:t>
      </w:r>
      <w:r>
        <w:rPr>
          <w:rFonts w:hint="eastAsia" w:ascii="仿宋_GB2312" w:hAnsi="微软雅黑" w:eastAsia="仿宋_GB2312" w:cs="仿宋_GB2312"/>
          <w:color w:val="333333"/>
          <w:kern w:val="0"/>
          <w:sz w:val="32"/>
          <w:szCs w:val="32"/>
          <w:shd w:val="clear" w:color="auto" w:fill="FFFFFF"/>
          <w:lang w:val="zh-CN"/>
        </w:rPr>
        <w:t>。</w:t>
      </w:r>
    </w:p>
    <w:p>
      <w:pPr>
        <w:widowControl/>
        <w:shd w:val="clear" w:color="auto" w:fill="FFFFFF"/>
        <w:spacing w:after="150" w:line="578" w:lineRule="exact"/>
        <w:ind w:firstLine="640"/>
        <w:jc w:val="left"/>
        <w:rPr>
          <w:rFonts w:ascii="仿宋_GB2312" w:hAnsi="微软雅黑" w:eastAsia="仿宋_GB2312" w:cs="仿宋_GB2312"/>
          <w:color w:val="333333"/>
          <w:kern w:val="0"/>
          <w:sz w:val="32"/>
          <w:szCs w:val="32"/>
          <w:shd w:val="clear" w:color="auto" w:fill="FFFFFF"/>
          <w:lang w:val="zh-CN"/>
        </w:rPr>
      </w:pPr>
      <w:r>
        <w:rPr>
          <w:rFonts w:hint="eastAsia" w:ascii="仿宋_GB2312" w:hAnsi="微软雅黑" w:eastAsia="仿宋_GB2312" w:cs="仿宋_GB2312"/>
          <w:color w:val="333333"/>
          <w:kern w:val="0"/>
          <w:sz w:val="32"/>
          <w:szCs w:val="32"/>
          <w:shd w:val="clear" w:color="auto" w:fill="FFFFFF"/>
        </w:rPr>
        <w:t>6.</w:t>
      </w:r>
      <w:r>
        <w:rPr>
          <w:rFonts w:hint="eastAsia" w:ascii="仿宋_GB2312" w:hAnsi="微软雅黑" w:eastAsia="仿宋_GB2312" w:cs="仿宋_GB2312"/>
          <w:color w:val="333333"/>
          <w:kern w:val="0"/>
          <w:sz w:val="32"/>
          <w:szCs w:val="32"/>
          <w:shd w:val="clear" w:color="auto" w:fill="FFFFFF"/>
          <w:lang w:val="zh-CN"/>
        </w:rPr>
        <w:t>预算完成情况、</w:t>
      </w:r>
    </w:p>
    <w:p>
      <w:pPr>
        <w:widowControl/>
        <w:shd w:val="clear" w:color="auto" w:fill="FFFFFF"/>
        <w:spacing w:after="150" w:line="560" w:lineRule="atLeast"/>
        <w:ind w:firstLine="640"/>
        <w:jc w:val="left"/>
        <w:rPr>
          <w:rFonts w:ascii="仿宋_GB2312" w:hAnsi="微软雅黑" w:eastAsia="仿宋_GB2312" w:cs="仿宋_GB2312"/>
          <w:color w:val="333333"/>
          <w:kern w:val="0"/>
          <w:sz w:val="32"/>
          <w:szCs w:val="32"/>
          <w:shd w:val="clear" w:color="auto" w:fill="FFFFFF"/>
        </w:rPr>
      </w:pPr>
      <w:r>
        <w:rPr>
          <w:rFonts w:ascii="仿宋_GB2312" w:hAnsi="微软雅黑" w:eastAsia="仿宋_GB2312" w:cs="仿宋_GB2312"/>
          <w:color w:val="333333"/>
          <w:kern w:val="0"/>
          <w:sz w:val="32"/>
          <w:szCs w:val="32"/>
          <w:shd w:val="clear" w:color="auto" w:fill="FFFFFF"/>
        </w:rPr>
        <w:t>从预算执行情况上看202</w:t>
      </w:r>
      <w:r>
        <w:rPr>
          <w:rFonts w:hint="eastAsia" w:ascii="仿宋_GB2312" w:hAnsi="微软雅黑" w:eastAsia="仿宋_GB2312" w:cs="仿宋_GB2312"/>
          <w:color w:val="333333"/>
          <w:kern w:val="0"/>
          <w:sz w:val="32"/>
          <w:szCs w:val="32"/>
          <w:shd w:val="clear" w:color="auto" w:fill="FFFFFF"/>
        </w:rPr>
        <w:t>2</w:t>
      </w:r>
      <w:r>
        <w:rPr>
          <w:rFonts w:ascii="仿宋_GB2312" w:hAnsi="微软雅黑" w:eastAsia="仿宋_GB2312" w:cs="仿宋_GB2312"/>
          <w:color w:val="333333"/>
          <w:kern w:val="0"/>
          <w:sz w:val="32"/>
          <w:szCs w:val="32"/>
          <w:shd w:val="clear" w:color="auto" w:fill="FFFFFF"/>
        </w:rPr>
        <w:t>年我单位积极开展年度财政资金的预算编制工作做到应编尽编。在资金使用和管理方面进一步强化资金统筹优化资金结构明确开支范围，细化资金用途确保部门职责任务顺利完成。全年基本支出保证了部门的正常运行和日常工作的正常开展，达到预期绩效目标。</w:t>
      </w:r>
    </w:p>
    <w:p>
      <w:pPr>
        <w:widowControl/>
        <w:shd w:val="clear" w:color="auto" w:fill="FFFFFF"/>
        <w:spacing w:after="150" w:line="560" w:lineRule="atLeast"/>
        <w:ind w:firstLine="640"/>
        <w:jc w:val="left"/>
        <w:rPr>
          <w:rFonts w:ascii="仿宋_GB2312" w:hAnsi="微软雅黑" w:eastAsia="仿宋_GB2312" w:cs="仿宋_GB2312"/>
          <w:color w:val="333333"/>
          <w:kern w:val="0"/>
          <w:sz w:val="32"/>
          <w:szCs w:val="32"/>
          <w:shd w:val="clear" w:color="auto" w:fill="FFFFFF"/>
          <w:lang w:val="zh-CN"/>
        </w:rPr>
      </w:pPr>
      <w:r>
        <w:rPr>
          <w:rFonts w:hint="eastAsia" w:ascii="仿宋_GB2312" w:hAnsi="微软雅黑" w:eastAsia="仿宋_GB2312" w:cs="仿宋_GB2312"/>
          <w:color w:val="333333"/>
          <w:kern w:val="0"/>
          <w:sz w:val="32"/>
          <w:szCs w:val="32"/>
          <w:shd w:val="clear" w:color="auto" w:fill="FFFFFF"/>
        </w:rPr>
        <w:t>7.</w:t>
      </w:r>
      <w:r>
        <w:rPr>
          <w:rFonts w:hint="eastAsia" w:ascii="仿宋_GB2312" w:hAnsi="微软雅黑" w:eastAsia="仿宋_GB2312" w:cs="仿宋_GB2312"/>
          <w:color w:val="333333"/>
          <w:kern w:val="0"/>
          <w:sz w:val="32"/>
          <w:szCs w:val="32"/>
          <w:shd w:val="clear" w:color="auto" w:fill="FFFFFF"/>
          <w:lang w:val="zh-CN"/>
        </w:rPr>
        <w:t>资金结余率（低效）</w:t>
      </w:r>
    </w:p>
    <w:p>
      <w:pPr>
        <w:pStyle w:val="6"/>
        <w:ind w:firstLine="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特定目标类项目</w:t>
      </w:r>
    </w:p>
    <w:p>
      <w:pPr>
        <w:pStyle w:val="6"/>
        <w:ind w:firstLine="0"/>
        <w:jc w:val="right"/>
        <w:rPr>
          <w:rFonts w:ascii="仿宋_GB2312" w:hAnsi="仿宋_GB2312" w:eastAsia="仿宋_GB2312" w:cs="仿宋_GB2312"/>
          <w:sz w:val="32"/>
          <w:szCs w:val="32"/>
          <w:lang w:val="zh-CN"/>
        </w:rPr>
      </w:pPr>
      <w:r>
        <w:rPr>
          <w:rFonts w:hint="eastAsia" w:ascii="仿宋_GB2312" w:hAnsi="仿宋_GB2312" w:cs="仿宋_GB2312"/>
          <w:sz w:val="32"/>
          <w:szCs w:val="32"/>
        </w:rPr>
        <w:t>单位：万元</w:t>
      </w:r>
    </w:p>
    <w:tbl>
      <w:tblPr>
        <w:tblStyle w:val="15"/>
        <w:tblpPr w:leftFromText="180" w:rightFromText="180" w:vertAnchor="text" w:horzAnchor="page" w:tblpX="1545" w:tblpY="45"/>
        <w:tblOverlap w:val="never"/>
        <w:tblW w:w="9477" w:type="dxa"/>
        <w:tblInd w:w="0" w:type="dxa"/>
        <w:tblLayout w:type="autofit"/>
        <w:tblCellMar>
          <w:top w:w="0" w:type="dxa"/>
          <w:left w:w="108" w:type="dxa"/>
          <w:bottom w:w="0" w:type="dxa"/>
          <w:right w:w="108" w:type="dxa"/>
        </w:tblCellMar>
      </w:tblPr>
      <w:tblGrid>
        <w:gridCol w:w="2575"/>
        <w:gridCol w:w="1576"/>
        <w:gridCol w:w="1281"/>
        <w:gridCol w:w="1281"/>
        <w:gridCol w:w="1229"/>
        <w:gridCol w:w="1535"/>
      </w:tblGrid>
      <w:tr>
        <w:tblPrEx>
          <w:tblCellMar>
            <w:top w:w="0" w:type="dxa"/>
            <w:left w:w="108" w:type="dxa"/>
            <w:bottom w:w="0" w:type="dxa"/>
            <w:right w:w="108" w:type="dxa"/>
          </w:tblCellMar>
        </w:tblPrEx>
        <w:trPr>
          <w:trHeight w:val="1033" w:hRule="atLeast"/>
        </w:trPr>
        <w:tc>
          <w:tcPr>
            <w:tcW w:w="2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部分预算项目</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预算金额</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预算执行</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预算完成率</w:t>
            </w:r>
          </w:p>
        </w:tc>
        <w:tc>
          <w:tcPr>
            <w:tcW w:w="12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资金结成率</w:t>
            </w:r>
          </w:p>
        </w:tc>
        <w:tc>
          <w:tcPr>
            <w:tcW w:w="15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是否小于0.1（10%）</w:t>
            </w:r>
          </w:p>
        </w:tc>
      </w:tr>
      <w:tr>
        <w:tblPrEx>
          <w:tblCellMar>
            <w:top w:w="0" w:type="dxa"/>
            <w:left w:w="108" w:type="dxa"/>
            <w:bottom w:w="0" w:type="dxa"/>
            <w:right w:w="108" w:type="dxa"/>
          </w:tblCellMar>
        </w:tblPrEx>
        <w:trPr>
          <w:trHeight w:val="553" w:hRule="atLeast"/>
        </w:trPr>
        <w:tc>
          <w:tcPr>
            <w:tcW w:w="25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辅助管理专项资金</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sz w:val="24"/>
              </w:rPr>
            </w:pPr>
            <w:r>
              <w:rPr>
                <w:rFonts w:hint="eastAsia" w:ascii="仿宋_GB2312" w:hAnsi="仿宋_GB2312" w:cs="仿宋_GB2312"/>
                <w:sz w:val="24"/>
              </w:rPr>
              <w:t>4.50</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sz w:val="24"/>
              </w:rPr>
            </w:pPr>
            <w:r>
              <w:rPr>
                <w:rFonts w:hint="eastAsia" w:ascii="仿宋_GB2312" w:hAnsi="仿宋_GB2312" w:cs="仿宋_GB2312"/>
                <w:sz w:val="24"/>
              </w:rPr>
              <w:t>4.50</w:t>
            </w:r>
          </w:p>
        </w:tc>
        <w:tc>
          <w:tcPr>
            <w:tcW w:w="12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sz w:val="24"/>
              </w:rPr>
            </w:pPr>
            <w:r>
              <w:rPr>
                <w:rFonts w:hint="eastAsia" w:ascii="仿宋_GB2312" w:hAnsi="仿宋_GB2312" w:cs="仿宋_GB2312"/>
                <w:sz w:val="24"/>
              </w:rPr>
              <w:t>100%</w:t>
            </w:r>
          </w:p>
        </w:tc>
        <w:tc>
          <w:tcPr>
            <w:tcW w:w="12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sz w:val="24"/>
              </w:rPr>
            </w:pPr>
            <w:r>
              <w:rPr>
                <w:rFonts w:hint="eastAsia" w:ascii="仿宋_GB2312" w:hAnsi="仿宋_GB2312" w:cs="仿宋_GB2312"/>
                <w:sz w:val="24"/>
              </w:rPr>
              <w:t>0</w:t>
            </w:r>
          </w:p>
        </w:tc>
        <w:tc>
          <w:tcPr>
            <w:tcW w:w="15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仿宋_GB2312" w:eastAsia="仿宋_GB2312" w:cs="仿宋_GB2312"/>
                <w:sz w:val="24"/>
              </w:rPr>
            </w:pPr>
            <w:r>
              <w:rPr>
                <w:rFonts w:hint="eastAsia" w:ascii="仿宋_GB2312" w:hAnsi="仿宋_GB2312" w:cs="仿宋_GB2312"/>
                <w:sz w:val="24"/>
              </w:rPr>
              <w:t>是</w:t>
            </w:r>
          </w:p>
        </w:tc>
      </w:tr>
    </w:tbl>
    <w:p>
      <w:pPr>
        <w:widowControl/>
        <w:shd w:val="clear" w:color="auto" w:fill="FFFFFF"/>
        <w:spacing w:after="150" w:line="578" w:lineRule="exact"/>
        <w:ind w:firstLine="640"/>
        <w:jc w:val="left"/>
        <w:rPr>
          <w:rFonts w:ascii="仿宋_GB2312" w:hAnsi="微软雅黑" w:eastAsia="仿宋_GB2312" w:cs="仿宋_GB2312"/>
          <w:color w:val="333333"/>
          <w:kern w:val="0"/>
          <w:sz w:val="32"/>
          <w:szCs w:val="32"/>
          <w:shd w:val="clear" w:color="auto" w:fill="FFFFFF"/>
          <w:lang w:val="zh-CN"/>
        </w:rPr>
      </w:pPr>
      <w:r>
        <w:rPr>
          <w:rFonts w:hint="eastAsia" w:ascii="仿宋_GB2312" w:hAnsi="微软雅黑" w:eastAsia="仿宋_GB2312" w:cs="仿宋_GB2312"/>
          <w:color w:val="333333"/>
          <w:kern w:val="0"/>
          <w:sz w:val="32"/>
          <w:szCs w:val="32"/>
          <w:shd w:val="clear" w:color="auto" w:fill="FFFFFF"/>
        </w:rPr>
        <w:t>8.</w:t>
      </w:r>
      <w:r>
        <w:rPr>
          <w:rFonts w:hint="eastAsia" w:ascii="仿宋_GB2312" w:hAnsi="微软雅黑" w:eastAsia="仿宋_GB2312" w:cs="仿宋_GB2312"/>
          <w:color w:val="333333"/>
          <w:kern w:val="0"/>
          <w:sz w:val="32"/>
          <w:szCs w:val="32"/>
          <w:shd w:val="clear" w:color="auto" w:fill="FFFFFF"/>
          <w:lang w:val="zh-CN"/>
        </w:rPr>
        <w:t>违规记录</w:t>
      </w:r>
    </w:p>
    <w:p>
      <w:pPr>
        <w:widowControl/>
        <w:shd w:val="clear" w:color="auto" w:fill="FFFFFF"/>
        <w:spacing w:after="150" w:line="578" w:lineRule="exact"/>
        <w:ind w:firstLine="640"/>
        <w:jc w:val="left"/>
        <w:rPr>
          <w:rFonts w:ascii="仿宋_GB2312" w:hAnsi="微软雅黑" w:eastAsia="仿宋_GB2312" w:cs="仿宋_GB2312"/>
          <w:color w:val="333333"/>
          <w:kern w:val="0"/>
          <w:sz w:val="32"/>
          <w:szCs w:val="32"/>
          <w:shd w:val="clear" w:color="auto" w:fill="FFFFFF"/>
          <w:lang w:val="zh-CN"/>
        </w:rPr>
      </w:pPr>
      <w:r>
        <w:rPr>
          <w:rFonts w:hint="eastAsia" w:ascii="仿宋_GB2312" w:hAnsi="微软雅黑" w:eastAsia="仿宋_GB2312" w:cs="仿宋_GB2312"/>
          <w:color w:val="333333"/>
          <w:kern w:val="0"/>
          <w:sz w:val="32"/>
          <w:szCs w:val="32"/>
          <w:shd w:val="clear" w:color="auto" w:fill="FFFFFF"/>
        </w:rPr>
        <w:t>2022年，遂宁市减灾中心无违规情况。</w:t>
      </w:r>
    </w:p>
    <w:p>
      <w:pPr>
        <w:widowControl/>
        <w:adjustRightInd w:val="0"/>
        <w:snapToGrid w:val="0"/>
        <w:spacing w:line="578" w:lineRule="exact"/>
        <w:ind w:firstLine="643" w:firstLineChars="200"/>
        <w:contextualSpacing/>
        <w:jc w:val="left"/>
        <w:rPr>
          <w:rStyle w:val="18"/>
          <w:rFonts w:ascii="楷体_GB2312" w:hAnsi="sans-serif" w:eastAsia="楷体_GB2312" w:cs="楷体_GB2312"/>
          <w:color w:val="000000"/>
          <w:kern w:val="0"/>
          <w:sz w:val="32"/>
          <w:szCs w:val="32"/>
          <w:lang w:val="zh-CN"/>
        </w:rPr>
      </w:pPr>
      <w:r>
        <w:rPr>
          <w:rStyle w:val="18"/>
          <w:rFonts w:hint="eastAsia" w:ascii="楷体_GB2312" w:hAnsi="sans-serif" w:eastAsia="楷体_GB2312" w:cs="楷体_GB2312"/>
          <w:color w:val="000000"/>
          <w:kern w:val="0"/>
          <w:sz w:val="32"/>
          <w:szCs w:val="32"/>
          <w:lang w:val="zh-CN"/>
        </w:rPr>
        <w:t>（二）结果应用情况。</w:t>
      </w:r>
    </w:p>
    <w:p>
      <w:pPr>
        <w:widowControl/>
        <w:shd w:val="clear" w:color="auto" w:fill="FFFFFF"/>
        <w:spacing w:after="150" w:line="578" w:lineRule="exact"/>
        <w:ind w:firstLine="641"/>
        <w:jc w:val="left"/>
        <w:rPr>
          <w:rFonts w:ascii="仿宋_GB2312" w:hAnsi="微软雅黑" w:eastAsia="仿宋_GB2312" w:cs="仿宋_GB2312"/>
          <w:color w:val="333333"/>
          <w:kern w:val="0"/>
          <w:sz w:val="32"/>
          <w:szCs w:val="32"/>
          <w:shd w:val="clear" w:color="auto" w:fill="FFFFFF"/>
        </w:rPr>
      </w:pPr>
      <w:r>
        <w:rPr>
          <w:rFonts w:hint="eastAsia" w:ascii="仿宋_GB2312" w:hAnsi="微软雅黑" w:eastAsia="仿宋_GB2312" w:cs="仿宋_GB2312"/>
          <w:color w:val="333333"/>
          <w:kern w:val="0"/>
          <w:sz w:val="32"/>
          <w:szCs w:val="32"/>
          <w:shd w:val="clear" w:color="auto" w:fill="FFFFFF"/>
        </w:rPr>
        <w:t>1.内部应用，</w:t>
      </w:r>
      <w:r>
        <w:rPr>
          <w:rFonts w:hint="eastAsia" w:ascii="仿宋_GB2312" w:hAnsi="微软雅黑" w:eastAsia="仿宋_GB2312" w:cs="仿宋_GB2312"/>
          <w:color w:val="333333"/>
          <w:kern w:val="0"/>
          <w:sz w:val="32"/>
          <w:szCs w:val="32"/>
          <w:shd w:val="clear" w:color="auto" w:fill="FFFFFF"/>
          <w:lang w:val="zh-CN"/>
        </w:rPr>
        <w:t>开展绩效评价的结果应用既是开展绩效评价工作的基本前提，又是加强财政支出管理、增强资金绩效理念、优化支出结构、强化资金管理水平、提高资金使用效益的重要手段，绩效评价结果为以后年度预算资金分配起到重要依据。我中心按照财经制度要求执行预决算，</w:t>
      </w:r>
      <w:r>
        <w:rPr>
          <w:rFonts w:hint="eastAsia" w:ascii="仿宋_GB2312" w:hAnsi="微软雅黑" w:eastAsia="仿宋_GB2312" w:cs="仿宋_GB2312"/>
          <w:color w:val="333333"/>
          <w:kern w:val="0"/>
          <w:sz w:val="32"/>
          <w:szCs w:val="32"/>
          <w:shd w:val="clear" w:color="auto" w:fill="FFFFFF"/>
        </w:rPr>
        <w:t>严格遵守各项规章制度、专项资金管理办法及绩效方案组织实施。</w:t>
      </w:r>
    </w:p>
    <w:p>
      <w:pPr>
        <w:widowControl/>
        <w:shd w:val="clear" w:color="auto" w:fill="FFFFFF"/>
        <w:spacing w:after="150" w:line="578" w:lineRule="exact"/>
        <w:ind w:firstLine="641"/>
        <w:jc w:val="left"/>
        <w:rPr>
          <w:rFonts w:ascii="仿宋_GB2312" w:hAnsi="微软雅黑" w:eastAsia="仿宋_GB2312" w:cs="仿宋_GB2312"/>
          <w:color w:val="333333"/>
          <w:kern w:val="0"/>
          <w:sz w:val="32"/>
          <w:szCs w:val="32"/>
          <w:shd w:val="clear" w:color="auto" w:fill="FFFFFF"/>
        </w:rPr>
      </w:pPr>
      <w:r>
        <w:rPr>
          <w:rFonts w:hint="eastAsia" w:ascii="仿宋_GB2312" w:hAnsi="微软雅黑" w:eastAsia="仿宋_GB2312" w:cs="仿宋_GB2312"/>
          <w:color w:val="333333"/>
          <w:kern w:val="0"/>
          <w:sz w:val="32"/>
          <w:szCs w:val="32"/>
          <w:shd w:val="clear" w:color="auto" w:fill="FFFFFF"/>
        </w:rPr>
        <w:t>2.自评公开</w:t>
      </w:r>
    </w:p>
    <w:p>
      <w:pPr>
        <w:widowControl/>
        <w:shd w:val="clear" w:color="auto" w:fill="FFFFFF"/>
        <w:spacing w:after="150" w:line="578" w:lineRule="exact"/>
        <w:ind w:firstLine="641"/>
        <w:jc w:val="left"/>
        <w:rPr>
          <w:rFonts w:ascii="仿宋_GB2312" w:hAnsi="微软雅黑" w:eastAsia="仿宋_GB2312" w:cs="仿宋_GB2312"/>
          <w:color w:val="333333"/>
          <w:kern w:val="0"/>
          <w:sz w:val="32"/>
          <w:szCs w:val="32"/>
          <w:shd w:val="clear" w:color="auto" w:fill="FFFFFF"/>
        </w:rPr>
      </w:pPr>
      <w:r>
        <w:rPr>
          <w:rFonts w:hint="eastAsia" w:ascii="仿宋_GB2312" w:hAnsi="微软雅黑" w:eastAsia="仿宋_GB2312" w:cs="仿宋_GB2312"/>
          <w:color w:val="333333"/>
          <w:kern w:val="0"/>
          <w:sz w:val="32"/>
          <w:szCs w:val="32"/>
          <w:shd w:val="clear" w:color="auto" w:fill="FFFFFF"/>
        </w:rPr>
        <w:t>信息公开及时。我单位严格按照要求在一级预算单位批复十五日内，根据市财政要求按时在人民政府网和应急局官网上公示本绩效目标情况。同部门整体支出绩效自评报告及其他按要求应公开的绩效信息均已信息公开，接受社会公众的监督。</w:t>
      </w:r>
    </w:p>
    <w:p>
      <w:pPr>
        <w:widowControl/>
        <w:shd w:val="clear" w:color="auto" w:fill="FFFFFF"/>
        <w:spacing w:after="150" w:line="560" w:lineRule="atLeast"/>
        <w:ind w:firstLine="640"/>
        <w:jc w:val="left"/>
        <w:rPr>
          <w:rFonts w:ascii="仿宋_GB2312" w:hAnsi="微软雅黑" w:eastAsia="仿宋_GB2312" w:cs="仿宋_GB2312"/>
          <w:color w:val="333333"/>
          <w:kern w:val="0"/>
          <w:sz w:val="32"/>
          <w:szCs w:val="32"/>
          <w:shd w:val="clear" w:color="auto" w:fill="FFFFFF"/>
          <w:lang w:val="zh-CN"/>
        </w:rPr>
      </w:pPr>
      <w:r>
        <w:rPr>
          <w:rFonts w:hint="eastAsia" w:ascii="仿宋_GB2312" w:hAnsi="微软雅黑" w:eastAsia="仿宋_GB2312" w:cs="仿宋_GB2312"/>
          <w:color w:val="333333"/>
          <w:kern w:val="0"/>
          <w:sz w:val="32"/>
          <w:szCs w:val="32"/>
          <w:shd w:val="clear" w:color="auto" w:fill="FFFFFF"/>
          <w:lang w:val="zh-CN"/>
        </w:rPr>
        <w:t>3</w:t>
      </w:r>
      <w:r>
        <w:rPr>
          <w:rFonts w:ascii="仿宋_GB2312" w:hAnsi="微软雅黑" w:eastAsia="仿宋_GB2312" w:cs="仿宋_GB2312"/>
          <w:color w:val="333333"/>
          <w:kern w:val="0"/>
          <w:sz w:val="32"/>
          <w:szCs w:val="32"/>
          <w:shd w:val="clear" w:color="auto" w:fill="FFFFFF"/>
          <w:lang w:val="zh-CN"/>
        </w:rPr>
        <w:t>.</w:t>
      </w:r>
      <w:r>
        <w:rPr>
          <w:rFonts w:hint="eastAsia" w:ascii="仿宋_GB2312" w:hAnsi="微软雅黑" w:eastAsia="仿宋_GB2312" w:cs="仿宋_GB2312"/>
          <w:color w:val="333333"/>
          <w:kern w:val="0"/>
          <w:sz w:val="32"/>
          <w:szCs w:val="32"/>
          <w:shd w:val="clear" w:color="auto" w:fill="FFFFFF"/>
          <w:lang w:val="zh-CN"/>
        </w:rPr>
        <w:t>问题整改</w:t>
      </w:r>
    </w:p>
    <w:p>
      <w:pPr>
        <w:widowControl/>
        <w:shd w:val="clear" w:color="auto" w:fill="FFFFFF"/>
        <w:spacing w:after="150" w:line="560" w:lineRule="atLeast"/>
        <w:ind w:firstLine="640"/>
        <w:jc w:val="left"/>
        <w:rPr>
          <w:rFonts w:ascii="仿宋_GB2312" w:hAnsi="微软雅黑" w:eastAsia="仿宋_GB2312" w:cs="仿宋_GB2312"/>
          <w:color w:val="333333"/>
          <w:kern w:val="0"/>
          <w:sz w:val="32"/>
          <w:szCs w:val="32"/>
          <w:shd w:val="clear" w:color="auto" w:fill="FFFFFF"/>
        </w:rPr>
      </w:pPr>
      <w:r>
        <w:rPr>
          <w:rFonts w:ascii="仿宋_GB2312" w:hAnsi="微软雅黑" w:eastAsia="仿宋_GB2312" w:cs="仿宋_GB2312"/>
          <w:color w:val="333333"/>
          <w:kern w:val="0"/>
          <w:sz w:val="32"/>
          <w:szCs w:val="32"/>
          <w:shd w:val="clear" w:color="auto" w:fill="FFFFFF"/>
        </w:rPr>
        <w:t>一是高度重视，强化认识。高度重视预算支出绩效评价工作。进一步强化各科室对财政预算支出的管理意识。加强对预算资金管理制度的学习培训，不断提高各职能科室的业务工作能力。</w:t>
      </w:r>
    </w:p>
    <w:p>
      <w:pPr>
        <w:widowControl/>
        <w:shd w:val="clear" w:color="auto" w:fill="FFFFFF"/>
        <w:spacing w:after="150" w:line="560" w:lineRule="atLeast"/>
        <w:ind w:firstLine="640"/>
        <w:jc w:val="left"/>
        <w:rPr>
          <w:rFonts w:ascii="仿宋_GB2312" w:hAnsi="微软雅黑" w:eastAsia="仿宋_GB2312" w:cs="仿宋_GB2312"/>
          <w:color w:val="333333"/>
          <w:kern w:val="0"/>
          <w:sz w:val="32"/>
          <w:szCs w:val="32"/>
          <w:shd w:val="clear" w:color="auto" w:fill="FFFFFF"/>
        </w:rPr>
      </w:pPr>
      <w:r>
        <w:rPr>
          <w:rFonts w:ascii="仿宋_GB2312" w:hAnsi="微软雅黑" w:eastAsia="仿宋_GB2312" w:cs="仿宋_GB2312"/>
          <w:color w:val="333333"/>
          <w:kern w:val="0"/>
          <w:sz w:val="32"/>
          <w:szCs w:val="32"/>
          <w:shd w:val="clear" w:color="auto" w:fill="FFFFFF"/>
        </w:rPr>
        <w:t>二是建立健全管理制度。建立健全内部财务管理和厉行节约等一系列制度，特别是对公务接待、会议费等支出进行了有针对性的规范管控。</w:t>
      </w:r>
    </w:p>
    <w:p>
      <w:pPr>
        <w:widowControl/>
        <w:shd w:val="clear" w:color="auto" w:fill="FFFFFF"/>
        <w:spacing w:after="150" w:line="560" w:lineRule="atLeast"/>
        <w:ind w:firstLine="640"/>
        <w:jc w:val="left"/>
        <w:rPr>
          <w:rFonts w:ascii="仿宋_GB2312" w:hAnsi="微软雅黑" w:eastAsia="仿宋_GB2312" w:cs="仿宋_GB2312"/>
          <w:color w:val="333333"/>
          <w:kern w:val="0"/>
          <w:sz w:val="32"/>
          <w:szCs w:val="32"/>
          <w:shd w:val="clear" w:color="auto" w:fill="FFFFFF"/>
        </w:rPr>
      </w:pPr>
      <w:r>
        <w:rPr>
          <w:rFonts w:ascii="仿宋_GB2312" w:hAnsi="微软雅黑" w:eastAsia="仿宋_GB2312" w:cs="仿宋_GB2312"/>
          <w:color w:val="333333"/>
          <w:kern w:val="0"/>
          <w:sz w:val="32"/>
          <w:szCs w:val="32"/>
          <w:shd w:val="clear" w:color="auto" w:fill="FFFFFF"/>
        </w:rPr>
        <w:t>三是严格制度执行。特别是对</w:t>
      </w:r>
      <w:r>
        <w:rPr>
          <w:rFonts w:hint="eastAsia" w:ascii="仿宋_GB2312" w:hAnsi="微软雅黑" w:eastAsia="仿宋_GB2312" w:cs="仿宋_GB2312"/>
          <w:color w:val="333333"/>
          <w:kern w:val="0"/>
          <w:sz w:val="32"/>
          <w:szCs w:val="32"/>
          <w:shd w:val="clear" w:color="auto" w:fill="FFFFFF"/>
        </w:rPr>
        <w:t>“</w:t>
      </w:r>
      <w:r>
        <w:rPr>
          <w:rFonts w:ascii="仿宋_GB2312" w:hAnsi="微软雅黑" w:eastAsia="仿宋_GB2312" w:cs="仿宋_GB2312"/>
          <w:color w:val="333333"/>
          <w:kern w:val="0"/>
          <w:sz w:val="32"/>
          <w:szCs w:val="32"/>
          <w:shd w:val="clear" w:color="auto" w:fill="FFFFFF"/>
        </w:rPr>
        <w:t>三公</w:t>
      </w:r>
      <w:r>
        <w:rPr>
          <w:rFonts w:hint="eastAsia" w:ascii="仿宋_GB2312" w:hAnsi="微软雅黑" w:eastAsia="仿宋_GB2312" w:cs="仿宋_GB2312"/>
          <w:color w:val="333333"/>
          <w:kern w:val="0"/>
          <w:sz w:val="32"/>
          <w:szCs w:val="32"/>
          <w:shd w:val="clear" w:color="auto" w:fill="FFFFFF"/>
        </w:rPr>
        <w:t>”</w:t>
      </w:r>
      <w:r>
        <w:rPr>
          <w:rFonts w:ascii="仿宋_GB2312" w:hAnsi="微软雅黑" w:eastAsia="仿宋_GB2312" w:cs="仿宋_GB2312"/>
          <w:color w:val="333333"/>
          <w:kern w:val="0"/>
          <w:sz w:val="32"/>
          <w:szCs w:val="32"/>
          <w:shd w:val="clear" w:color="auto" w:fill="FFFFFF"/>
        </w:rPr>
        <w:t>经费的预算控制，严格招待费用审核审批程序,</w:t>
      </w:r>
      <w:r>
        <w:rPr>
          <w:rFonts w:hint="eastAsia" w:ascii="仿宋_GB2312" w:hAnsi="微软雅黑" w:eastAsia="仿宋_GB2312" w:cs="仿宋_GB2312"/>
          <w:color w:val="333333"/>
          <w:kern w:val="0"/>
          <w:sz w:val="32"/>
          <w:szCs w:val="32"/>
          <w:shd w:val="clear" w:color="auto" w:fill="FFFFFF"/>
        </w:rPr>
        <w:t>“</w:t>
      </w:r>
      <w:r>
        <w:rPr>
          <w:rFonts w:ascii="仿宋_GB2312" w:hAnsi="微软雅黑" w:eastAsia="仿宋_GB2312" w:cs="仿宋_GB2312"/>
          <w:color w:val="333333"/>
          <w:kern w:val="0"/>
          <w:sz w:val="32"/>
          <w:szCs w:val="32"/>
          <w:shd w:val="clear" w:color="auto" w:fill="FFFFFF"/>
        </w:rPr>
        <w:t>三公</w:t>
      </w:r>
      <w:r>
        <w:rPr>
          <w:rFonts w:hint="eastAsia" w:ascii="仿宋_GB2312" w:hAnsi="微软雅黑" w:eastAsia="仿宋_GB2312" w:cs="仿宋_GB2312"/>
          <w:color w:val="333333"/>
          <w:kern w:val="0"/>
          <w:sz w:val="32"/>
          <w:szCs w:val="32"/>
          <w:shd w:val="clear" w:color="auto" w:fill="FFFFFF"/>
        </w:rPr>
        <w:t>”</w:t>
      </w:r>
      <w:r>
        <w:rPr>
          <w:rFonts w:ascii="仿宋_GB2312" w:hAnsi="微软雅黑" w:eastAsia="仿宋_GB2312" w:cs="仿宋_GB2312"/>
          <w:color w:val="333333"/>
          <w:kern w:val="0"/>
          <w:sz w:val="32"/>
          <w:szCs w:val="32"/>
          <w:shd w:val="clear" w:color="auto" w:fill="FFFFFF"/>
        </w:rPr>
        <w:t>经费较好地控制在预算范围之内。</w:t>
      </w:r>
    </w:p>
    <w:p>
      <w:pPr>
        <w:widowControl/>
        <w:shd w:val="clear" w:color="auto" w:fill="FFFFFF"/>
        <w:spacing w:after="150" w:line="560" w:lineRule="atLeast"/>
        <w:ind w:firstLine="640"/>
        <w:jc w:val="left"/>
        <w:rPr>
          <w:rFonts w:ascii="仿宋_GB2312" w:hAnsi="微软雅黑" w:eastAsia="仿宋_GB2312" w:cs="仿宋_GB2312"/>
          <w:color w:val="333333"/>
          <w:kern w:val="0"/>
          <w:sz w:val="32"/>
          <w:szCs w:val="32"/>
          <w:shd w:val="clear" w:color="auto" w:fill="FFFFFF"/>
        </w:rPr>
      </w:pPr>
      <w:r>
        <w:rPr>
          <w:rFonts w:ascii="仿宋_GB2312" w:hAnsi="微软雅黑" w:eastAsia="仿宋_GB2312" w:cs="仿宋_GB2312"/>
          <w:color w:val="333333"/>
          <w:kern w:val="0"/>
          <w:sz w:val="32"/>
          <w:szCs w:val="32"/>
          <w:shd w:val="clear" w:color="auto" w:fill="FFFFFF"/>
        </w:rPr>
        <w:t>四是规范资金使用流程。建立科学完善的管理制度，严格预算支出，从财经制度源头把好经费使用关，确保经费使用向业务倾斜、向重点工作倾斜，确保资金的节支增效。</w:t>
      </w:r>
    </w:p>
    <w:p>
      <w:pPr>
        <w:widowControl/>
        <w:shd w:val="clear" w:color="auto" w:fill="FFFFFF"/>
        <w:spacing w:after="150" w:line="560" w:lineRule="atLeast"/>
        <w:ind w:firstLine="640"/>
        <w:jc w:val="left"/>
        <w:rPr>
          <w:rFonts w:ascii="仿宋_GB2312" w:hAnsi="微软雅黑" w:eastAsia="仿宋_GB2312" w:cs="仿宋_GB2312"/>
          <w:color w:val="333333"/>
          <w:kern w:val="0"/>
          <w:sz w:val="32"/>
          <w:szCs w:val="32"/>
          <w:shd w:val="clear" w:color="auto" w:fill="FFFFFF"/>
          <w:lang w:val="zh-CN"/>
        </w:rPr>
      </w:pPr>
      <w:r>
        <w:rPr>
          <w:rFonts w:hint="eastAsia" w:ascii="仿宋_GB2312" w:hAnsi="微软雅黑" w:eastAsia="仿宋_GB2312" w:cs="仿宋_GB2312"/>
          <w:color w:val="333333"/>
          <w:kern w:val="0"/>
          <w:sz w:val="32"/>
          <w:szCs w:val="32"/>
          <w:shd w:val="clear" w:color="auto" w:fill="FFFFFF"/>
          <w:lang w:val="zh-CN"/>
        </w:rPr>
        <w:t>4</w:t>
      </w:r>
      <w:r>
        <w:rPr>
          <w:rFonts w:ascii="仿宋_GB2312" w:hAnsi="微软雅黑" w:eastAsia="仿宋_GB2312" w:cs="仿宋_GB2312"/>
          <w:color w:val="333333"/>
          <w:kern w:val="0"/>
          <w:sz w:val="32"/>
          <w:szCs w:val="32"/>
          <w:shd w:val="clear" w:color="auto" w:fill="FFFFFF"/>
          <w:lang w:val="zh-CN"/>
        </w:rPr>
        <w:t>.</w:t>
      </w:r>
      <w:r>
        <w:rPr>
          <w:rFonts w:hint="eastAsia" w:ascii="仿宋_GB2312" w:hAnsi="微软雅黑" w:eastAsia="仿宋_GB2312" w:cs="仿宋_GB2312"/>
          <w:color w:val="333333"/>
          <w:kern w:val="0"/>
          <w:sz w:val="32"/>
          <w:szCs w:val="32"/>
          <w:shd w:val="clear" w:color="auto" w:fill="FFFFFF"/>
          <w:lang w:val="zh-CN"/>
        </w:rPr>
        <w:t>应用反馈。</w:t>
      </w:r>
    </w:p>
    <w:p>
      <w:pPr>
        <w:widowControl/>
        <w:shd w:val="clear" w:color="auto" w:fill="FFFFFF"/>
        <w:spacing w:after="150" w:line="560" w:lineRule="atLeast"/>
        <w:ind w:firstLine="640"/>
        <w:jc w:val="left"/>
        <w:rPr>
          <w:rFonts w:ascii="仿宋_GB2312" w:hAnsi="微软雅黑" w:eastAsia="仿宋_GB2312" w:cs="仿宋_GB2312"/>
          <w:color w:val="333333"/>
          <w:kern w:val="0"/>
          <w:sz w:val="32"/>
          <w:szCs w:val="32"/>
          <w:shd w:val="clear" w:color="auto" w:fill="FFFFFF"/>
        </w:rPr>
      </w:pPr>
      <w:r>
        <w:rPr>
          <w:rFonts w:hint="eastAsia" w:ascii="仿宋_GB2312" w:hAnsi="微软雅黑" w:eastAsia="仿宋_GB2312" w:cs="仿宋_GB2312"/>
          <w:color w:val="333333"/>
          <w:kern w:val="0"/>
          <w:sz w:val="32"/>
          <w:szCs w:val="32"/>
          <w:shd w:val="clear" w:color="auto" w:fill="FFFFFF"/>
        </w:rPr>
        <w:t>遂宁市减灾中心在规定时间内向市级财政部门反馈应用绩效结果的报告。</w:t>
      </w:r>
    </w:p>
    <w:p>
      <w:pPr>
        <w:widowControl/>
        <w:adjustRightInd w:val="0"/>
        <w:snapToGrid w:val="0"/>
        <w:spacing w:line="620" w:lineRule="exact"/>
        <w:ind w:firstLine="640" w:firstLineChars="200"/>
        <w:contextualSpacing/>
        <w:jc w:val="left"/>
        <w:rPr>
          <w:rFonts w:eastAsia="黑体"/>
          <w:color w:val="000000"/>
          <w:kern w:val="0"/>
          <w:sz w:val="32"/>
          <w:szCs w:val="32"/>
          <w:shd w:val="clear" w:color="auto" w:fill="FFFFFF"/>
        </w:rPr>
      </w:pPr>
      <w:r>
        <w:rPr>
          <w:rFonts w:eastAsia="黑体"/>
          <w:color w:val="000000"/>
          <w:kern w:val="0"/>
          <w:sz w:val="32"/>
          <w:szCs w:val="32"/>
          <w:shd w:val="clear" w:color="auto" w:fill="FFFFFF"/>
        </w:rPr>
        <w:t>四、评价结论及建议</w:t>
      </w:r>
    </w:p>
    <w:p>
      <w:pPr>
        <w:widowControl/>
        <w:adjustRightInd w:val="0"/>
        <w:snapToGrid w:val="0"/>
        <w:spacing w:line="578" w:lineRule="exact"/>
        <w:ind w:firstLine="643" w:firstLineChars="200"/>
        <w:contextualSpacing/>
        <w:jc w:val="left"/>
        <w:rPr>
          <w:rStyle w:val="18"/>
          <w:rFonts w:ascii="楷体_GB2312" w:hAnsi="sans-serif" w:eastAsia="楷体_GB2312" w:cs="楷体_GB2312"/>
          <w:color w:val="000000"/>
          <w:kern w:val="0"/>
          <w:sz w:val="32"/>
          <w:szCs w:val="32"/>
          <w:lang w:val="zh-CN"/>
        </w:rPr>
      </w:pPr>
      <w:r>
        <w:rPr>
          <w:rStyle w:val="18"/>
          <w:rFonts w:hint="eastAsia" w:ascii="楷体_GB2312" w:hAnsi="sans-serif" w:eastAsia="楷体_GB2312" w:cs="楷体_GB2312"/>
          <w:color w:val="000000"/>
          <w:kern w:val="0"/>
          <w:sz w:val="32"/>
          <w:szCs w:val="32"/>
          <w:lang w:val="zh-CN"/>
        </w:rPr>
        <w:t>（一）评价结论。</w:t>
      </w:r>
    </w:p>
    <w:p>
      <w:pPr>
        <w:widowControl/>
        <w:shd w:val="clear" w:color="auto" w:fill="FFFFFF"/>
        <w:spacing w:after="150" w:line="560" w:lineRule="atLeast"/>
        <w:ind w:firstLine="640"/>
        <w:jc w:val="left"/>
        <w:rPr>
          <w:rFonts w:ascii="仿宋_GB2312" w:hAnsi="微软雅黑" w:eastAsia="仿宋_GB2312" w:cs="仿宋_GB2312"/>
          <w:color w:val="333333"/>
          <w:kern w:val="0"/>
          <w:sz w:val="32"/>
          <w:szCs w:val="32"/>
          <w:shd w:val="clear" w:color="auto" w:fill="FFFFFF"/>
          <w:lang w:val="zh-CN"/>
        </w:rPr>
      </w:pPr>
      <w:r>
        <w:rPr>
          <w:rFonts w:hint="eastAsia" w:ascii="仿宋_GB2312" w:hAnsi="微软雅黑" w:eastAsia="仿宋_GB2312" w:cs="仿宋_GB2312"/>
          <w:color w:val="333333"/>
          <w:kern w:val="0"/>
          <w:sz w:val="32"/>
          <w:szCs w:val="32"/>
          <w:shd w:val="clear" w:color="auto" w:fill="FFFFFF"/>
          <w:lang w:val="zh-CN"/>
        </w:rPr>
        <w:t>遂宁市减灾中心</w:t>
      </w:r>
      <w:r>
        <w:rPr>
          <w:rFonts w:hint="eastAsia" w:ascii="仿宋_GB2312" w:hAnsi="微软雅黑" w:eastAsia="仿宋_GB2312" w:cs="仿宋_GB2312"/>
          <w:color w:val="333333"/>
          <w:kern w:val="0"/>
          <w:sz w:val="32"/>
          <w:szCs w:val="32"/>
          <w:shd w:val="clear" w:color="auto" w:fill="FFFFFF"/>
        </w:rPr>
        <w:t>2022</w:t>
      </w:r>
      <w:r>
        <w:rPr>
          <w:rFonts w:hint="eastAsia" w:ascii="仿宋_GB2312" w:hAnsi="微软雅黑" w:eastAsia="仿宋_GB2312" w:cs="仿宋_GB2312"/>
          <w:color w:val="333333"/>
          <w:kern w:val="0"/>
          <w:sz w:val="32"/>
          <w:szCs w:val="32"/>
          <w:shd w:val="clear" w:color="auto" w:fill="FFFFFF"/>
          <w:lang w:val="zh-CN"/>
        </w:rPr>
        <w:t>年目标绩效合理可行，严格执行了相关预算规定，项目设立符合本单位相关职能职责，资金分配科学、合理。支付严格按照年初预算执行，不存在超预算、无预算列支的现象。绩效自评分为</w:t>
      </w:r>
      <w:r>
        <w:rPr>
          <w:rFonts w:hint="eastAsia" w:ascii="仿宋_GB2312" w:hAnsi="微软雅黑" w:eastAsia="仿宋_GB2312" w:cs="仿宋_GB2312"/>
          <w:color w:val="333333"/>
          <w:kern w:val="0"/>
          <w:sz w:val="32"/>
          <w:szCs w:val="32"/>
          <w:shd w:val="clear" w:color="auto" w:fill="FFFFFF"/>
        </w:rPr>
        <w:t>89.4分，自评等级为良。</w:t>
      </w:r>
    </w:p>
    <w:p>
      <w:pPr>
        <w:widowControl/>
        <w:adjustRightInd w:val="0"/>
        <w:snapToGrid w:val="0"/>
        <w:spacing w:line="578" w:lineRule="exact"/>
        <w:ind w:firstLine="643" w:firstLineChars="200"/>
        <w:contextualSpacing/>
        <w:jc w:val="left"/>
        <w:rPr>
          <w:rStyle w:val="18"/>
          <w:rFonts w:ascii="楷体_GB2312" w:hAnsi="sans-serif" w:eastAsia="楷体_GB2312" w:cs="楷体_GB2312"/>
          <w:color w:val="000000"/>
          <w:kern w:val="0"/>
          <w:sz w:val="32"/>
          <w:szCs w:val="32"/>
          <w:lang w:val="zh-CN"/>
        </w:rPr>
      </w:pPr>
      <w:r>
        <w:rPr>
          <w:rStyle w:val="18"/>
          <w:rFonts w:hint="eastAsia" w:ascii="楷体_GB2312" w:hAnsi="sans-serif" w:eastAsia="楷体_GB2312" w:cs="楷体_GB2312"/>
          <w:color w:val="000000"/>
          <w:kern w:val="0"/>
          <w:sz w:val="32"/>
          <w:szCs w:val="32"/>
          <w:lang w:val="zh-CN"/>
        </w:rPr>
        <w:t>（二）存在问题。</w:t>
      </w:r>
    </w:p>
    <w:p>
      <w:pPr>
        <w:widowControl/>
        <w:shd w:val="clear" w:color="auto" w:fill="FFFFFF"/>
        <w:spacing w:after="150" w:line="560" w:lineRule="atLeast"/>
        <w:ind w:firstLine="640"/>
        <w:jc w:val="left"/>
        <w:rPr>
          <w:rFonts w:ascii="仿宋_GB2312" w:hAnsi="微软雅黑" w:eastAsia="仿宋_GB2312" w:cs="仿宋_GB2312"/>
          <w:color w:val="333333"/>
          <w:kern w:val="0"/>
          <w:sz w:val="32"/>
          <w:szCs w:val="32"/>
          <w:shd w:val="clear" w:color="auto" w:fill="FFFFFF"/>
          <w:lang w:val="zh-CN"/>
        </w:rPr>
      </w:pPr>
      <w:r>
        <w:rPr>
          <w:rFonts w:hint="eastAsia" w:ascii="仿宋_GB2312" w:hAnsi="微软雅黑" w:eastAsia="仿宋_GB2312" w:cs="仿宋_GB2312"/>
          <w:color w:val="333333"/>
          <w:kern w:val="0"/>
          <w:sz w:val="32"/>
          <w:szCs w:val="32"/>
          <w:shd w:val="clear" w:color="auto" w:fill="FFFFFF"/>
        </w:rPr>
        <w:t>对</w:t>
      </w:r>
      <w:r>
        <w:rPr>
          <w:rFonts w:hint="eastAsia" w:ascii="仿宋_GB2312" w:hAnsi="微软雅黑" w:eastAsia="仿宋_GB2312" w:cs="仿宋_GB2312"/>
          <w:color w:val="333333"/>
          <w:kern w:val="0"/>
          <w:sz w:val="32"/>
          <w:szCs w:val="32"/>
          <w:shd w:val="clear" w:color="auto" w:fill="FFFFFF"/>
          <w:lang w:val="zh-CN"/>
        </w:rPr>
        <w:t>预算编制质量、</w:t>
      </w:r>
      <w:r>
        <w:rPr>
          <w:rFonts w:hint="eastAsia" w:ascii="仿宋_GB2312" w:hAnsi="微软雅黑" w:eastAsia="仿宋_GB2312" w:cs="仿宋_GB2312"/>
          <w:color w:val="333333"/>
          <w:kern w:val="0"/>
          <w:sz w:val="32"/>
          <w:szCs w:val="32"/>
          <w:shd w:val="clear" w:color="auto" w:fill="FFFFFF"/>
        </w:rPr>
        <w:t>专项资金的合理性及</w:t>
      </w:r>
      <w:r>
        <w:rPr>
          <w:rFonts w:hint="eastAsia" w:ascii="仿宋_GB2312" w:hAnsi="微软雅黑" w:eastAsia="仿宋_GB2312" w:cs="仿宋_GB2312"/>
          <w:color w:val="333333"/>
          <w:kern w:val="0"/>
          <w:sz w:val="32"/>
          <w:szCs w:val="32"/>
          <w:shd w:val="clear" w:color="auto" w:fill="FFFFFF"/>
          <w:lang w:val="zh-CN"/>
        </w:rPr>
        <w:t>执行</w:t>
      </w:r>
      <w:r>
        <w:rPr>
          <w:rFonts w:hint="eastAsia" w:ascii="仿宋_GB2312" w:hAnsi="微软雅黑" w:eastAsia="仿宋_GB2312" w:cs="仿宋_GB2312"/>
          <w:color w:val="333333"/>
          <w:kern w:val="0"/>
          <w:sz w:val="32"/>
          <w:szCs w:val="32"/>
          <w:shd w:val="clear" w:color="auto" w:fill="FFFFFF"/>
        </w:rPr>
        <w:t>率都有待提高</w:t>
      </w:r>
      <w:r>
        <w:rPr>
          <w:rFonts w:hint="eastAsia" w:ascii="仿宋_GB2312" w:hAnsi="微软雅黑" w:eastAsia="仿宋_GB2312" w:cs="仿宋_GB2312"/>
          <w:color w:val="333333"/>
          <w:kern w:val="0"/>
          <w:sz w:val="32"/>
          <w:szCs w:val="32"/>
          <w:shd w:val="clear" w:color="auto" w:fill="FFFFFF"/>
          <w:lang w:val="zh-CN"/>
        </w:rPr>
        <w:t>；</w:t>
      </w:r>
      <w:r>
        <w:rPr>
          <w:rFonts w:hint="eastAsia" w:ascii="仿宋_GB2312" w:hAnsi="微软雅黑" w:eastAsia="仿宋_GB2312" w:cs="仿宋_GB2312"/>
          <w:color w:val="333333"/>
          <w:kern w:val="0"/>
          <w:sz w:val="32"/>
          <w:szCs w:val="32"/>
          <w:shd w:val="clear" w:color="auto" w:fill="FFFFFF"/>
        </w:rPr>
        <w:t>同时应加强业务</w:t>
      </w:r>
      <w:r>
        <w:rPr>
          <w:rFonts w:hint="eastAsia" w:ascii="仿宋_GB2312" w:hAnsi="微软雅黑" w:eastAsia="仿宋_GB2312" w:cs="仿宋_GB2312"/>
          <w:color w:val="333333"/>
          <w:kern w:val="0"/>
          <w:sz w:val="32"/>
          <w:szCs w:val="32"/>
          <w:shd w:val="clear" w:color="auto" w:fill="FFFFFF"/>
          <w:lang w:val="zh-CN"/>
        </w:rPr>
        <w:t>人员专业技术能力</w:t>
      </w:r>
      <w:r>
        <w:rPr>
          <w:rFonts w:hint="eastAsia" w:ascii="仿宋_GB2312" w:hAnsi="微软雅黑" w:eastAsia="仿宋_GB2312" w:cs="仿宋_GB2312"/>
          <w:color w:val="333333"/>
          <w:kern w:val="0"/>
          <w:sz w:val="32"/>
          <w:szCs w:val="32"/>
          <w:shd w:val="clear" w:color="auto" w:fill="FFFFFF"/>
        </w:rPr>
        <w:t>提升</w:t>
      </w:r>
      <w:r>
        <w:rPr>
          <w:rFonts w:hint="eastAsia" w:ascii="仿宋_GB2312" w:hAnsi="微软雅黑" w:eastAsia="仿宋_GB2312" w:cs="仿宋_GB2312"/>
          <w:color w:val="333333"/>
          <w:kern w:val="0"/>
          <w:sz w:val="32"/>
          <w:szCs w:val="32"/>
          <w:shd w:val="clear" w:color="auto" w:fill="FFFFFF"/>
          <w:lang w:val="zh-CN"/>
        </w:rPr>
        <w:t>。</w:t>
      </w:r>
    </w:p>
    <w:p>
      <w:pPr>
        <w:widowControl/>
        <w:adjustRightInd w:val="0"/>
        <w:snapToGrid w:val="0"/>
        <w:spacing w:line="578" w:lineRule="exact"/>
        <w:ind w:firstLine="643" w:firstLineChars="200"/>
        <w:contextualSpacing/>
        <w:jc w:val="left"/>
        <w:rPr>
          <w:rStyle w:val="18"/>
          <w:rFonts w:ascii="楷体_GB2312" w:hAnsi="sans-serif" w:eastAsia="楷体_GB2312" w:cs="楷体_GB2312"/>
          <w:color w:val="000000"/>
          <w:kern w:val="0"/>
          <w:sz w:val="32"/>
          <w:szCs w:val="32"/>
          <w:lang w:val="zh-CN"/>
        </w:rPr>
      </w:pPr>
      <w:r>
        <w:rPr>
          <w:rStyle w:val="18"/>
          <w:rFonts w:hint="eastAsia" w:ascii="楷体_GB2312" w:hAnsi="sans-serif" w:eastAsia="楷体_GB2312" w:cs="楷体_GB2312"/>
          <w:color w:val="000000"/>
          <w:kern w:val="0"/>
          <w:sz w:val="32"/>
          <w:szCs w:val="32"/>
          <w:lang w:val="zh-CN"/>
        </w:rPr>
        <w:t>（三）改进建议。</w:t>
      </w:r>
    </w:p>
    <w:p>
      <w:pPr>
        <w:widowControl/>
        <w:shd w:val="clear" w:color="auto" w:fill="FFFFFF"/>
        <w:spacing w:after="150" w:line="560" w:lineRule="atLeast"/>
        <w:ind w:firstLine="640"/>
        <w:jc w:val="left"/>
      </w:pPr>
      <w:r>
        <w:rPr>
          <w:rFonts w:hint="eastAsia" w:ascii="仿宋_GB2312" w:hAnsi="微软雅黑" w:eastAsia="仿宋_GB2312" w:cs="仿宋_GB2312"/>
          <w:color w:val="333333"/>
          <w:kern w:val="0"/>
          <w:sz w:val="32"/>
          <w:szCs w:val="32"/>
          <w:shd w:val="clear" w:color="auto" w:fill="FFFFFF"/>
        </w:rPr>
        <w:t>一是加强预算编制管理，做深做细预算编制工作。二是认真做好中期评估，动态实时把握预算执行情况，强化预算执行力度。三是加强强化结果运用，完善结果反馈机制，落实绩效结果运用，逐步建立以绩效为导向的部门预算编制模式，提高资金使用效益。</w:t>
      </w:r>
      <w:r>
        <w:rPr>
          <w:rFonts w:hint="eastAsia"/>
          <w:kern w:val="0"/>
          <w:sz w:val="32"/>
          <w:szCs w:val="32"/>
          <w:shd w:val="clear" w:color="auto" w:fill="FFFFFF"/>
        </w:rPr>
        <w:t xml:space="preserve">                     </w:t>
      </w:r>
    </w:p>
    <w:tbl>
      <w:tblPr>
        <w:tblStyle w:val="15"/>
        <w:tblpPr w:leftFromText="180" w:rightFromText="180" w:vertAnchor="text" w:horzAnchor="page" w:tblpX="892" w:tblpY="1200"/>
        <w:tblOverlap w:val="never"/>
        <w:tblW w:w="10140" w:type="dxa"/>
        <w:tblInd w:w="0" w:type="dxa"/>
        <w:tblLayout w:type="autofit"/>
        <w:tblCellMar>
          <w:top w:w="0" w:type="dxa"/>
          <w:left w:w="108" w:type="dxa"/>
          <w:bottom w:w="0" w:type="dxa"/>
          <w:right w:w="108" w:type="dxa"/>
        </w:tblCellMar>
      </w:tblPr>
      <w:tblGrid>
        <w:gridCol w:w="677"/>
        <w:gridCol w:w="1262"/>
        <w:gridCol w:w="1107"/>
        <w:gridCol w:w="1615"/>
        <w:gridCol w:w="514"/>
        <w:gridCol w:w="800"/>
        <w:gridCol w:w="514"/>
        <w:gridCol w:w="846"/>
        <w:gridCol w:w="504"/>
        <w:gridCol w:w="486"/>
        <w:gridCol w:w="1815"/>
      </w:tblGrid>
      <w:tr>
        <w:tblPrEx>
          <w:tblCellMar>
            <w:top w:w="0" w:type="dxa"/>
            <w:left w:w="108" w:type="dxa"/>
            <w:bottom w:w="0" w:type="dxa"/>
            <w:right w:w="108" w:type="dxa"/>
          </w:tblCellMar>
        </w:tblPrEx>
        <w:trPr>
          <w:trHeight w:val="904" w:hRule="atLeast"/>
        </w:trPr>
        <w:tc>
          <w:tcPr>
            <w:tcW w:w="101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600" w:lineRule="exact"/>
              <w:outlineLvl w:val="0"/>
              <w:rPr>
                <w:rFonts w:ascii="仿宋_GB2312" w:hAnsi="仿宋_GB2312" w:eastAsia="仿宋_GB2312" w:cs="仿宋_GB2312"/>
                <w:sz w:val="32"/>
                <w:szCs w:val="32"/>
              </w:rPr>
            </w:pPr>
            <w:bookmarkStart w:id="88" w:name="_Toc17622"/>
            <w:bookmarkStart w:id="89" w:name="_Toc15396618"/>
            <w:r>
              <w:rPr>
                <w:rFonts w:hint="eastAsia" w:ascii="宋体" w:hAnsi="宋体" w:cs="宋体"/>
                <w:kern w:val="0"/>
                <w:sz w:val="32"/>
                <w:szCs w:val="32"/>
              </w:rPr>
              <w:t>遂宁市减灾中心单位预算项目支出绩效自评表（2022年度）</w:t>
            </w:r>
            <w:bookmarkEnd w:id="88"/>
          </w:p>
          <w:p>
            <w:pPr>
              <w:widowControl/>
              <w:jc w:val="center"/>
              <w:textAlignment w:val="center"/>
              <w:rPr>
                <w:rFonts w:ascii="宋体" w:hAnsi="宋体" w:cs="宋体"/>
                <w:b/>
                <w:bCs/>
                <w:color w:val="000000"/>
                <w:sz w:val="18"/>
                <w:szCs w:val="18"/>
              </w:rPr>
            </w:pPr>
          </w:p>
        </w:tc>
      </w:tr>
      <w:tr>
        <w:tblPrEx>
          <w:tblCellMar>
            <w:top w:w="0" w:type="dxa"/>
            <w:left w:w="108" w:type="dxa"/>
            <w:bottom w:w="0" w:type="dxa"/>
            <w:right w:w="108" w:type="dxa"/>
          </w:tblCellMar>
        </w:tblPrEx>
        <w:trPr>
          <w:trHeight w:val="286" w:hRule="atLeast"/>
        </w:trPr>
        <w:tc>
          <w:tcPr>
            <w:tcW w:w="19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项目名称</w:t>
            </w:r>
          </w:p>
        </w:tc>
        <w:tc>
          <w:tcPr>
            <w:tcW w:w="81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51090022T000004908640-辅助管理专项资金</w:t>
            </w:r>
          </w:p>
        </w:tc>
      </w:tr>
      <w:tr>
        <w:tblPrEx>
          <w:tblCellMar>
            <w:top w:w="0" w:type="dxa"/>
            <w:left w:w="108" w:type="dxa"/>
            <w:bottom w:w="0" w:type="dxa"/>
            <w:right w:w="108" w:type="dxa"/>
          </w:tblCellMar>
        </w:tblPrEx>
        <w:trPr>
          <w:trHeight w:val="512" w:hRule="atLeast"/>
        </w:trPr>
        <w:tc>
          <w:tcPr>
            <w:tcW w:w="19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主管部门</w:t>
            </w:r>
          </w:p>
        </w:tc>
        <w:tc>
          <w:tcPr>
            <w:tcW w:w="4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遂宁市应急管理局部门</w:t>
            </w:r>
          </w:p>
        </w:tc>
        <w:tc>
          <w:tcPr>
            <w:tcW w:w="846" w:type="dxa"/>
            <w:tcBorders>
              <w:top w:val="nil"/>
              <w:left w:val="nil"/>
              <w:bottom w:val="nil"/>
              <w:right w:val="nil"/>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实施单位 （盖章）</w:t>
            </w:r>
          </w:p>
        </w:tc>
        <w:tc>
          <w:tcPr>
            <w:tcW w:w="27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遂宁市减灾中心</w:t>
            </w:r>
          </w:p>
        </w:tc>
      </w:tr>
      <w:tr>
        <w:tblPrEx>
          <w:tblCellMar>
            <w:top w:w="0" w:type="dxa"/>
            <w:left w:w="108" w:type="dxa"/>
            <w:bottom w:w="0" w:type="dxa"/>
            <w:right w:w="108" w:type="dxa"/>
          </w:tblCellMar>
        </w:tblPrEx>
        <w:trPr>
          <w:trHeight w:val="286" w:hRule="atLeast"/>
        </w:trPr>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项目基本情况</w:t>
            </w:r>
          </w:p>
        </w:tc>
        <w:tc>
          <w:tcPr>
            <w:tcW w:w="1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1.项目年度目标完成情况</w:t>
            </w:r>
          </w:p>
        </w:tc>
        <w:tc>
          <w:tcPr>
            <w:tcW w:w="4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项目年度目标</w:t>
            </w:r>
          </w:p>
        </w:tc>
        <w:tc>
          <w:tcPr>
            <w:tcW w:w="36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年度目标完成情况</w:t>
            </w:r>
          </w:p>
        </w:tc>
      </w:tr>
      <w:tr>
        <w:tblPrEx>
          <w:tblCellMar>
            <w:top w:w="0" w:type="dxa"/>
            <w:left w:w="108" w:type="dxa"/>
            <w:bottom w:w="0" w:type="dxa"/>
            <w:right w:w="108" w:type="dxa"/>
          </w:tblCellMar>
        </w:tblPrEx>
        <w:trPr>
          <w:trHeight w:val="708"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4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辅助性服务人员整体评价达到90%</w:t>
            </w:r>
          </w:p>
        </w:tc>
        <w:tc>
          <w:tcPr>
            <w:tcW w:w="36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对照年度目标，说明相关任务目标的完成情况（100字以内）</w:t>
            </w:r>
          </w:p>
        </w:tc>
      </w:tr>
      <w:tr>
        <w:tblPrEx>
          <w:tblCellMar>
            <w:top w:w="0" w:type="dxa"/>
            <w:left w:w="108" w:type="dxa"/>
            <w:bottom w:w="0" w:type="dxa"/>
            <w:right w:w="108" w:type="dxa"/>
          </w:tblCellMar>
        </w:tblPrEx>
        <w:trPr>
          <w:trHeight w:val="759"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2.项目实施内容及过程概述</w:t>
            </w:r>
          </w:p>
        </w:tc>
        <w:tc>
          <w:tcPr>
            <w:tcW w:w="81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620" w:hRule="atLeast"/>
        </w:trPr>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预算执行情况（10分）</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年度预算数（万元）</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年初预算</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调整后预算数</w:t>
            </w:r>
          </w:p>
        </w:tc>
        <w:tc>
          <w:tcPr>
            <w:tcW w:w="18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权重</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得分</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87"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总额</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4.50</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4.50</w:t>
            </w:r>
          </w:p>
        </w:tc>
        <w:tc>
          <w:tcPr>
            <w:tcW w:w="18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4.50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i/>
                <w:iCs/>
                <w:color w:val="000000"/>
                <w:sz w:val="18"/>
                <w:szCs w:val="18"/>
              </w:rPr>
            </w:pPr>
            <w:r>
              <w:rPr>
                <w:rFonts w:hint="eastAsia" w:ascii="宋体" w:hAnsi="宋体" w:cs="宋体"/>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trHeight w:val="432"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其中：财政资金</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4.50</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4.50</w:t>
            </w:r>
          </w:p>
        </w:tc>
        <w:tc>
          <w:tcPr>
            <w:tcW w:w="18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4.50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i/>
                <w:iCs/>
                <w:color w:val="000000"/>
                <w:sz w:val="18"/>
                <w:szCs w:val="18"/>
              </w:rPr>
            </w:pPr>
          </w:p>
        </w:tc>
      </w:tr>
      <w:tr>
        <w:tblPrEx>
          <w:tblCellMar>
            <w:top w:w="0" w:type="dxa"/>
            <w:left w:w="108" w:type="dxa"/>
            <w:bottom w:w="0" w:type="dxa"/>
            <w:right w:w="108" w:type="dxa"/>
          </w:tblCellMar>
        </w:tblPrEx>
        <w:trPr>
          <w:trHeight w:val="540"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财政专户管理资金</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18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i/>
                <w:iCs/>
                <w:color w:val="000000"/>
                <w:sz w:val="18"/>
                <w:szCs w:val="18"/>
              </w:rPr>
            </w:pPr>
          </w:p>
        </w:tc>
      </w:tr>
      <w:tr>
        <w:tblPrEx>
          <w:tblCellMar>
            <w:top w:w="0" w:type="dxa"/>
            <w:left w:w="108" w:type="dxa"/>
            <w:bottom w:w="0" w:type="dxa"/>
            <w:right w:w="108" w:type="dxa"/>
          </w:tblCellMar>
        </w:tblPrEx>
        <w:trPr>
          <w:trHeight w:val="402"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单位资金</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18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i/>
                <w:iCs/>
                <w:color w:val="000000"/>
                <w:sz w:val="18"/>
                <w:szCs w:val="18"/>
              </w:rPr>
            </w:pPr>
          </w:p>
        </w:tc>
      </w:tr>
      <w:tr>
        <w:tblPrEx>
          <w:tblCellMar>
            <w:top w:w="0" w:type="dxa"/>
            <w:left w:w="108" w:type="dxa"/>
            <w:bottom w:w="0" w:type="dxa"/>
            <w:right w:w="108" w:type="dxa"/>
          </w:tblCellMar>
        </w:tblPrEx>
        <w:trPr>
          <w:trHeight w:val="540"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其他资金</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i/>
                <w:iCs/>
                <w:color w:val="000000"/>
                <w:sz w:val="18"/>
                <w:szCs w:val="18"/>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i/>
                <w:iCs/>
                <w:color w:val="000000"/>
                <w:sz w:val="18"/>
                <w:szCs w:val="18"/>
              </w:rPr>
            </w:pPr>
          </w:p>
        </w:tc>
        <w:tc>
          <w:tcPr>
            <w:tcW w:w="18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i/>
                <w:iCs/>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i/>
                <w:iCs/>
                <w:color w:val="000000"/>
                <w:sz w:val="18"/>
                <w:szCs w:val="18"/>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i/>
                <w:iCs/>
                <w:color w:val="000000"/>
                <w:sz w:val="18"/>
                <w:szCs w:val="18"/>
              </w:rPr>
            </w:pPr>
          </w:p>
        </w:tc>
      </w:tr>
      <w:tr>
        <w:tblPrEx>
          <w:tblCellMar>
            <w:top w:w="0" w:type="dxa"/>
            <w:left w:w="108" w:type="dxa"/>
            <w:bottom w:w="0" w:type="dxa"/>
            <w:right w:w="108" w:type="dxa"/>
          </w:tblCellMar>
        </w:tblPrEx>
        <w:trPr>
          <w:trHeight w:val="452" w:hRule="atLeast"/>
        </w:trPr>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绩效指标（90分）</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一级指标</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二级指标</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三级指标</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指标性质</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指标值</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权重</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得分</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452"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产出指标</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数量指标</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完成2022年度12个月账务处理</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月</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i/>
                <w:iCs/>
                <w:color w:val="000000"/>
                <w:sz w:val="18"/>
                <w:szCs w:val="18"/>
              </w:rPr>
            </w:pPr>
            <w:r>
              <w:rPr>
                <w:rFonts w:hint="eastAsia" w:ascii="宋体" w:hAnsi="宋体" w:cs="宋体"/>
                <w:i/>
                <w:iCs/>
                <w:color w:val="000000"/>
                <w:sz w:val="18"/>
                <w:szCs w:val="18"/>
              </w:rPr>
              <w:t>12</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20</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i/>
                <w:iCs/>
                <w:color w:val="000000"/>
                <w:sz w:val="18"/>
                <w:szCs w:val="18"/>
              </w:rPr>
            </w:pPr>
          </w:p>
        </w:tc>
      </w:tr>
      <w:tr>
        <w:tblPrEx>
          <w:tblCellMar>
            <w:top w:w="0" w:type="dxa"/>
            <w:left w:w="108" w:type="dxa"/>
            <w:bottom w:w="0" w:type="dxa"/>
            <w:right w:w="108" w:type="dxa"/>
          </w:tblCellMar>
        </w:tblPrEx>
        <w:trPr>
          <w:trHeight w:val="500"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质量指标</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完成质量符合政府会计准则</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定性</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等级良</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类</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i/>
                <w:iCs/>
                <w:color w:val="000000"/>
                <w:sz w:val="18"/>
                <w:szCs w:val="18"/>
              </w:rPr>
            </w:pPr>
            <w:r>
              <w:rPr>
                <w:rFonts w:hint="eastAsia" w:ascii="宋体" w:hAnsi="宋体" w:cs="宋体"/>
                <w:i/>
                <w:iCs/>
                <w:color w:val="000000"/>
                <w:sz w:val="18"/>
                <w:szCs w:val="18"/>
              </w:rPr>
              <w:t>优</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10</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i/>
                <w:iCs/>
                <w:color w:val="000000"/>
                <w:sz w:val="18"/>
                <w:szCs w:val="18"/>
              </w:rPr>
            </w:pPr>
          </w:p>
        </w:tc>
      </w:tr>
      <w:tr>
        <w:tblPrEx>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时效指标</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完成时间</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月</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i/>
                <w:iCs/>
                <w:color w:val="000000"/>
                <w:sz w:val="18"/>
                <w:szCs w:val="18"/>
              </w:rPr>
            </w:pPr>
            <w:r>
              <w:rPr>
                <w:rFonts w:hint="eastAsia" w:ascii="宋体" w:hAnsi="宋体" w:cs="宋体"/>
                <w:i/>
                <w:iCs/>
                <w:color w:val="000000"/>
                <w:sz w:val="18"/>
                <w:szCs w:val="18"/>
              </w:rPr>
              <w:t>12</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10</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i/>
                <w:iCs/>
                <w:color w:val="000000"/>
                <w:sz w:val="18"/>
                <w:szCs w:val="18"/>
              </w:rPr>
            </w:pPr>
          </w:p>
        </w:tc>
      </w:tr>
      <w:tr>
        <w:tblPrEx>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成本指标</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18"/>
                <w:szCs w:val="18"/>
              </w:rPr>
            </w:pPr>
            <w:r>
              <w:rPr>
                <w:rFonts w:hint="eastAsia" w:ascii="宋体" w:hAnsi="宋体" w:cs="宋体"/>
                <w:color w:val="000000"/>
                <w:sz w:val="18"/>
                <w:szCs w:val="18"/>
              </w:rPr>
              <w:t>4.5万</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4.5</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i/>
                <w:iCs/>
                <w:color w:val="000000"/>
                <w:sz w:val="18"/>
                <w:szCs w:val="18"/>
              </w:rPr>
            </w:pPr>
            <w:r>
              <w:rPr>
                <w:rFonts w:hint="eastAsia" w:ascii="宋体" w:hAnsi="宋体" w:cs="宋体"/>
                <w:i/>
                <w:iCs/>
                <w:color w:val="000000"/>
                <w:sz w:val="18"/>
                <w:szCs w:val="18"/>
              </w:rPr>
              <w:t>4.5</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10</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i/>
                <w:iCs/>
                <w:color w:val="000000"/>
                <w:sz w:val="18"/>
                <w:szCs w:val="18"/>
              </w:rPr>
            </w:pPr>
          </w:p>
        </w:tc>
      </w:tr>
      <w:tr>
        <w:tblPrEx>
          <w:tblCellMar>
            <w:top w:w="0" w:type="dxa"/>
            <w:left w:w="108" w:type="dxa"/>
            <w:bottom w:w="0" w:type="dxa"/>
            <w:right w:w="108" w:type="dxa"/>
          </w:tblCellMar>
        </w:tblPrEx>
        <w:trPr>
          <w:trHeight w:val="452"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效益指标</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社会效益指标</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防范风险，减少人民财产安全损失</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i/>
                <w:iCs/>
                <w:color w:val="000000"/>
                <w:sz w:val="18"/>
                <w:szCs w:val="18"/>
              </w:rPr>
            </w:pPr>
            <w:r>
              <w:rPr>
                <w:rFonts w:hint="eastAsia" w:ascii="宋体" w:hAnsi="宋体" w:cs="宋体"/>
                <w:color w:val="000000"/>
                <w:kern w:val="0"/>
                <w:sz w:val="18"/>
                <w:szCs w:val="18"/>
              </w:rPr>
              <w:t>≥0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20</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i/>
                <w:iCs/>
                <w:color w:val="000000"/>
                <w:sz w:val="18"/>
                <w:szCs w:val="18"/>
              </w:rPr>
            </w:pPr>
          </w:p>
        </w:tc>
      </w:tr>
      <w:tr>
        <w:tblPrEx>
          <w:tblCellMar>
            <w:top w:w="0" w:type="dxa"/>
            <w:left w:w="108" w:type="dxa"/>
            <w:bottom w:w="0" w:type="dxa"/>
            <w:right w:w="108" w:type="dxa"/>
          </w:tblCellMar>
        </w:tblPrEx>
        <w:trPr>
          <w:trHeight w:val="480"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可持续影响指标</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制度可持续</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i/>
                <w:iCs/>
                <w:color w:val="000000"/>
                <w:sz w:val="18"/>
                <w:szCs w:val="18"/>
              </w:rPr>
            </w:pPr>
            <w:r>
              <w:rPr>
                <w:rFonts w:hint="eastAsia" w:ascii="宋体" w:hAnsi="宋体" w:cs="宋体"/>
                <w:color w:val="000000"/>
                <w:kern w:val="0"/>
                <w:sz w:val="18"/>
                <w:szCs w:val="18"/>
              </w:rPr>
              <w:t>≥5年</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10</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i/>
                <w:iCs/>
                <w:color w:val="000000"/>
                <w:sz w:val="18"/>
                <w:szCs w:val="18"/>
              </w:rPr>
            </w:pPr>
          </w:p>
        </w:tc>
      </w:tr>
      <w:tr>
        <w:tblPrEx>
          <w:tblCellMar>
            <w:top w:w="0" w:type="dxa"/>
            <w:left w:w="108" w:type="dxa"/>
            <w:bottom w:w="0" w:type="dxa"/>
            <w:right w:w="108" w:type="dxa"/>
          </w:tblCellMar>
        </w:tblPrEx>
        <w:trPr>
          <w:trHeight w:val="452"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满意度指标</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服务对象满意度指标</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服务对象满意度达到90%</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i/>
                <w:iCs/>
                <w:color w:val="000000"/>
                <w:sz w:val="18"/>
                <w:szCs w:val="18"/>
              </w:rPr>
            </w:pPr>
            <w:r>
              <w:rPr>
                <w:rFonts w:hint="eastAsia" w:ascii="宋体" w:hAnsi="宋体" w:cs="宋体"/>
                <w:i/>
                <w:iCs/>
                <w:color w:val="000000"/>
                <w:sz w:val="18"/>
                <w:szCs w:val="18"/>
              </w:rPr>
              <w:t>95%</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10</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i/>
                <w:iCs/>
                <w:color w:val="000000"/>
                <w:sz w:val="18"/>
                <w:szCs w:val="18"/>
              </w:rPr>
            </w:pPr>
          </w:p>
        </w:tc>
      </w:tr>
      <w:tr>
        <w:tblPrEx>
          <w:tblCellMar>
            <w:top w:w="0" w:type="dxa"/>
            <w:left w:w="108" w:type="dxa"/>
            <w:bottom w:w="0" w:type="dxa"/>
            <w:right w:w="108" w:type="dxa"/>
          </w:tblCellMar>
        </w:tblPrEx>
        <w:trPr>
          <w:trHeight w:val="286" w:hRule="atLeast"/>
        </w:trPr>
        <w:tc>
          <w:tcPr>
            <w:tcW w:w="73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r>
              <w:rPr>
                <w:rFonts w:hint="eastAsia" w:ascii="宋体" w:hAnsi="宋体" w:cs="宋体"/>
                <w:color w:val="000000"/>
                <w:sz w:val="18"/>
                <w:szCs w:val="18"/>
              </w:rPr>
              <w:t>100</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603"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评价结论</w:t>
            </w:r>
          </w:p>
        </w:tc>
        <w:tc>
          <w:tcPr>
            <w:tcW w:w="94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i/>
                <w:iCs/>
                <w:color w:val="000000"/>
                <w:sz w:val="18"/>
                <w:szCs w:val="18"/>
              </w:rPr>
            </w:pPr>
            <w:r>
              <w:rPr>
                <w:rFonts w:hint="eastAsia" w:ascii="宋体" w:hAnsi="宋体" w:cs="宋体"/>
                <w:i/>
                <w:iCs/>
                <w:color w:val="000000"/>
                <w:kern w:val="0"/>
                <w:sz w:val="18"/>
                <w:szCs w:val="18"/>
              </w:rPr>
              <w:t>按质按量完成本项目，且自评得分100分，</w:t>
            </w:r>
          </w:p>
        </w:tc>
      </w:tr>
      <w:tr>
        <w:tblPrEx>
          <w:tblCellMar>
            <w:top w:w="0" w:type="dxa"/>
            <w:left w:w="108" w:type="dxa"/>
            <w:bottom w:w="0" w:type="dxa"/>
            <w:right w:w="108" w:type="dxa"/>
          </w:tblCellMar>
        </w:tblPrEx>
        <w:trPr>
          <w:trHeight w:val="572"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存在问题</w:t>
            </w:r>
          </w:p>
        </w:tc>
        <w:tc>
          <w:tcPr>
            <w:tcW w:w="94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i/>
                <w:iCs/>
                <w:color w:val="000000"/>
                <w:sz w:val="18"/>
                <w:szCs w:val="18"/>
              </w:rPr>
            </w:pPr>
          </w:p>
        </w:tc>
      </w:tr>
      <w:tr>
        <w:tblPrEx>
          <w:tblCellMar>
            <w:top w:w="0" w:type="dxa"/>
            <w:left w:w="108" w:type="dxa"/>
            <w:bottom w:w="0" w:type="dxa"/>
            <w:right w:w="108" w:type="dxa"/>
          </w:tblCellMar>
        </w:tblPrEx>
        <w:trPr>
          <w:trHeight w:val="633"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改进措施</w:t>
            </w:r>
          </w:p>
        </w:tc>
        <w:tc>
          <w:tcPr>
            <w:tcW w:w="94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i/>
                <w:iCs/>
                <w:color w:val="000000"/>
                <w:sz w:val="18"/>
                <w:szCs w:val="18"/>
              </w:rPr>
            </w:pPr>
          </w:p>
        </w:tc>
      </w:tr>
      <w:tr>
        <w:tblPrEx>
          <w:tblCellMar>
            <w:top w:w="0" w:type="dxa"/>
            <w:left w:w="108" w:type="dxa"/>
            <w:bottom w:w="0" w:type="dxa"/>
            <w:right w:w="108" w:type="dxa"/>
          </w:tblCellMar>
        </w:tblPrEx>
        <w:trPr>
          <w:trHeight w:val="286" w:hRule="atLeast"/>
        </w:trPr>
        <w:tc>
          <w:tcPr>
            <w:tcW w:w="51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项目负责人：徐小婉</w:t>
            </w:r>
          </w:p>
        </w:tc>
        <w:tc>
          <w:tcPr>
            <w:tcW w:w="49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财务负责人：陈琦</w:t>
            </w:r>
          </w:p>
        </w:tc>
      </w:tr>
    </w:tbl>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pStyle w:val="7"/>
        <w:spacing w:before="93"/>
        <w:rPr>
          <w:rFonts w:hAnsi="Calibri" w:cs="仿宋"/>
          <w:sz w:val="32"/>
          <w:szCs w:val="32"/>
        </w:rPr>
      </w:pPr>
    </w:p>
    <w:p>
      <w:pPr>
        <w:spacing w:line="600" w:lineRule="exact"/>
        <w:jc w:val="center"/>
        <w:outlineLvl w:val="0"/>
        <w:rPr>
          <w:rFonts w:ascii="仿宋" w:hAnsi="仿宋" w:eastAsia="仿宋"/>
        </w:rPr>
      </w:pPr>
      <w:bookmarkStart w:id="90" w:name="_Toc31761"/>
      <w:r>
        <w:rPr>
          <w:rFonts w:hint="eastAsia" w:ascii="黑体" w:hAnsi="黑体" w:eastAsia="黑体"/>
          <w:sz w:val="44"/>
          <w:szCs w:val="44"/>
        </w:rPr>
        <w:t>第</w:t>
      </w:r>
      <w:r>
        <w:rPr>
          <w:rStyle w:val="27"/>
          <w:rFonts w:hint="eastAsia" w:ascii="黑体" w:hAnsi="黑体" w:eastAsia="黑体"/>
          <w:b w:val="0"/>
        </w:rPr>
        <w:t>五部分 附表</w:t>
      </w:r>
      <w:bookmarkEnd w:id="85"/>
      <w:bookmarkEnd w:id="89"/>
      <w:bookmarkEnd w:id="90"/>
      <w:bookmarkStart w:id="91" w:name="_Toc15396619"/>
    </w:p>
    <w:p>
      <w:pPr>
        <w:pStyle w:val="4"/>
        <w:spacing w:line="578" w:lineRule="exact"/>
        <w:rPr>
          <w:rFonts w:ascii="仿宋" w:hAnsi="仿宋" w:eastAsia="仿宋"/>
        </w:rPr>
      </w:pPr>
      <w:bookmarkStart w:id="92" w:name="_Toc14200"/>
      <w:r>
        <w:rPr>
          <w:rFonts w:hint="eastAsia" w:ascii="仿宋" w:hAnsi="仿宋" w:eastAsia="仿宋"/>
          <w:b w:val="0"/>
        </w:rPr>
        <w:t>一、收</w:t>
      </w:r>
      <w:r>
        <w:rPr>
          <w:rStyle w:val="28"/>
          <w:rFonts w:hint="eastAsia" w:ascii="仿宋" w:hAnsi="仿宋" w:eastAsia="仿宋"/>
          <w:b w:val="0"/>
          <w:bCs w:val="0"/>
        </w:rPr>
        <w:t>入支出决算总表</w:t>
      </w:r>
      <w:bookmarkEnd w:id="91"/>
      <w:bookmarkEnd w:id="92"/>
    </w:p>
    <w:p>
      <w:pPr>
        <w:pStyle w:val="4"/>
        <w:spacing w:line="578" w:lineRule="exact"/>
        <w:rPr>
          <w:rFonts w:ascii="仿宋" w:hAnsi="仿宋" w:eastAsia="仿宋"/>
        </w:rPr>
      </w:pPr>
      <w:bookmarkStart w:id="93" w:name="_Toc6833"/>
      <w:bookmarkStart w:id="94" w:name="_Toc15396620"/>
      <w:r>
        <w:rPr>
          <w:rFonts w:hint="eastAsia" w:ascii="仿宋" w:hAnsi="仿宋" w:eastAsia="仿宋"/>
          <w:b w:val="0"/>
        </w:rPr>
        <w:t>二、收</w:t>
      </w:r>
      <w:r>
        <w:rPr>
          <w:rStyle w:val="28"/>
          <w:rFonts w:hint="eastAsia" w:ascii="仿宋" w:hAnsi="仿宋" w:eastAsia="仿宋"/>
          <w:b w:val="0"/>
          <w:bCs w:val="0"/>
        </w:rPr>
        <w:t>入决算表</w:t>
      </w:r>
      <w:bookmarkEnd w:id="93"/>
      <w:bookmarkEnd w:id="94"/>
    </w:p>
    <w:p>
      <w:pPr>
        <w:pStyle w:val="4"/>
        <w:spacing w:line="578" w:lineRule="exact"/>
        <w:rPr>
          <w:rFonts w:ascii="仿宋" w:hAnsi="仿宋" w:eastAsia="仿宋"/>
        </w:rPr>
      </w:pPr>
      <w:bookmarkStart w:id="95" w:name="_Toc15396621"/>
      <w:bookmarkStart w:id="96" w:name="_Toc18096"/>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95"/>
      <w:bookmarkEnd w:id="96"/>
    </w:p>
    <w:p>
      <w:pPr>
        <w:pStyle w:val="4"/>
        <w:spacing w:line="578" w:lineRule="exact"/>
        <w:rPr>
          <w:rFonts w:ascii="仿宋" w:hAnsi="仿宋" w:eastAsia="仿宋"/>
          <w:b w:val="0"/>
        </w:rPr>
      </w:pPr>
      <w:bookmarkStart w:id="97" w:name="_Toc15396622"/>
      <w:bookmarkStart w:id="98" w:name="_Toc16357"/>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97"/>
      <w:bookmarkEnd w:id="98"/>
    </w:p>
    <w:p>
      <w:pPr>
        <w:pStyle w:val="4"/>
        <w:spacing w:line="578" w:lineRule="exact"/>
        <w:rPr>
          <w:rStyle w:val="28"/>
          <w:rFonts w:ascii="仿宋" w:hAnsi="仿宋" w:eastAsia="仿宋"/>
          <w:b w:val="0"/>
          <w:bCs w:val="0"/>
        </w:rPr>
      </w:pPr>
      <w:bookmarkStart w:id="99" w:name="_Toc8733"/>
      <w:bookmarkStart w:id="100" w:name="_Toc15396623"/>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99"/>
      <w:bookmarkEnd w:id="100"/>
      <w:bookmarkStart w:id="101" w:name="_Toc15396624"/>
    </w:p>
    <w:p>
      <w:pPr>
        <w:pStyle w:val="4"/>
        <w:spacing w:line="578" w:lineRule="exact"/>
        <w:rPr>
          <w:rFonts w:ascii="仿宋" w:hAnsi="仿宋" w:eastAsia="仿宋"/>
        </w:rPr>
      </w:pPr>
      <w:bookmarkStart w:id="102" w:name="_Toc412"/>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101"/>
      <w:bookmarkEnd w:id="102"/>
    </w:p>
    <w:p>
      <w:pPr>
        <w:pStyle w:val="4"/>
        <w:spacing w:line="578" w:lineRule="exact"/>
        <w:rPr>
          <w:rFonts w:ascii="仿宋" w:hAnsi="仿宋" w:eastAsia="仿宋"/>
        </w:rPr>
      </w:pPr>
      <w:bookmarkStart w:id="103" w:name="_Toc16792"/>
      <w:bookmarkStart w:id="104" w:name="_Toc15396625"/>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103"/>
      <w:bookmarkEnd w:id="104"/>
    </w:p>
    <w:p>
      <w:pPr>
        <w:pStyle w:val="4"/>
        <w:spacing w:line="578" w:lineRule="exact"/>
        <w:rPr>
          <w:rFonts w:ascii="仿宋" w:hAnsi="仿宋" w:eastAsia="仿宋"/>
        </w:rPr>
      </w:pPr>
      <w:bookmarkStart w:id="105" w:name="_Toc15396626"/>
      <w:bookmarkStart w:id="106" w:name="_Toc21353"/>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105"/>
      <w:bookmarkEnd w:id="106"/>
    </w:p>
    <w:p>
      <w:pPr>
        <w:pStyle w:val="4"/>
        <w:spacing w:line="578" w:lineRule="exact"/>
        <w:rPr>
          <w:rFonts w:ascii="仿宋" w:hAnsi="仿宋" w:eastAsia="仿宋"/>
        </w:rPr>
      </w:pPr>
      <w:bookmarkStart w:id="107" w:name="_Toc8476"/>
      <w:bookmarkStart w:id="108" w:name="_Toc15396627"/>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107"/>
      <w:bookmarkEnd w:id="108"/>
    </w:p>
    <w:p>
      <w:pPr>
        <w:pStyle w:val="4"/>
        <w:spacing w:line="578" w:lineRule="exact"/>
        <w:rPr>
          <w:rFonts w:ascii="仿宋" w:hAnsi="仿宋" w:eastAsia="仿宋"/>
        </w:rPr>
      </w:pPr>
      <w:bookmarkStart w:id="109" w:name="_Toc15396628"/>
      <w:bookmarkStart w:id="110" w:name="_Toc1344"/>
      <w:r>
        <w:rPr>
          <w:rStyle w:val="28"/>
          <w:rFonts w:hint="eastAsia" w:ascii="仿宋" w:hAnsi="仿宋" w:eastAsia="仿宋"/>
          <w:b w:val="0"/>
          <w:bCs w:val="0"/>
        </w:rPr>
        <w:t>十、</w:t>
      </w:r>
      <w:bookmarkEnd w:id="109"/>
      <w:r>
        <w:rPr>
          <w:rFonts w:hint="eastAsia" w:ascii="仿宋" w:hAnsi="仿宋" w:eastAsia="仿宋"/>
          <w:b w:val="0"/>
        </w:rPr>
        <w:t>政</w:t>
      </w:r>
      <w:r>
        <w:rPr>
          <w:rStyle w:val="28"/>
          <w:rFonts w:hint="eastAsia" w:ascii="仿宋" w:hAnsi="仿宋" w:eastAsia="仿宋"/>
          <w:b w:val="0"/>
          <w:bCs w:val="0"/>
        </w:rPr>
        <w:t>府性基金预算财政拨款收入支出决算表</w:t>
      </w:r>
      <w:bookmarkEnd w:id="110"/>
    </w:p>
    <w:p>
      <w:pPr>
        <w:pStyle w:val="4"/>
        <w:spacing w:line="578" w:lineRule="exact"/>
        <w:rPr>
          <w:rFonts w:ascii="仿宋" w:hAnsi="仿宋" w:eastAsia="仿宋"/>
        </w:rPr>
      </w:pPr>
      <w:bookmarkStart w:id="111" w:name="_Toc15396629"/>
      <w:bookmarkStart w:id="112" w:name="_Toc11529"/>
      <w:r>
        <w:rPr>
          <w:rStyle w:val="28"/>
          <w:rFonts w:hint="eastAsia" w:ascii="仿宋" w:hAnsi="仿宋" w:eastAsia="仿宋"/>
          <w:b w:val="0"/>
          <w:bCs w:val="0"/>
        </w:rPr>
        <w:t>十一、</w:t>
      </w:r>
      <w:bookmarkEnd w:id="111"/>
      <w:r>
        <w:rPr>
          <w:rFonts w:hint="eastAsia" w:ascii="仿宋" w:hAnsi="仿宋" w:eastAsia="仿宋"/>
          <w:b w:val="0"/>
        </w:rPr>
        <w:t>国</w:t>
      </w:r>
      <w:r>
        <w:rPr>
          <w:rStyle w:val="28"/>
          <w:rFonts w:hint="eastAsia" w:ascii="仿宋" w:hAnsi="仿宋" w:eastAsia="仿宋"/>
          <w:b w:val="0"/>
          <w:bCs w:val="0"/>
        </w:rPr>
        <w:t>有资本经营预算财政拨款收入支出决算表</w:t>
      </w:r>
      <w:bookmarkEnd w:id="112"/>
    </w:p>
    <w:p>
      <w:pPr>
        <w:pStyle w:val="4"/>
        <w:spacing w:line="578" w:lineRule="exact"/>
        <w:rPr>
          <w:rFonts w:ascii="仿宋" w:hAnsi="仿宋" w:eastAsia="仿宋"/>
        </w:rPr>
      </w:pPr>
      <w:bookmarkStart w:id="113" w:name="_Toc15396630"/>
      <w:bookmarkStart w:id="114" w:name="_Toc17726"/>
      <w:r>
        <w:rPr>
          <w:rStyle w:val="28"/>
          <w:rFonts w:hint="eastAsia" w:ascii="仿宋" w:hAnsi="仿宋" w:eastAsia="仿宋"/>
          <w:b w:val="0"/>
          <w:bCs w:val="0"/>
        </w:rPr>
        <w:t>十二、</w:t>
      </w:r>
      <w:bookmarkEnd w:id="113"/>
      <w:r>
        <w:rPr>
          <w:rStyle w:val="28"/>
          <w:rFonts w:hint="eastAsia" w:ascii="仿宋" w:hAnsi="仿宋" w:eastAsia="仿宋"/>
          <w:b w:val="0"/>
          <w:bCs w:val="0"/>
        </w:rPr>
        <w:t>国有资本经营预算财政拨款支出决算表</w:t>
      </w:r>
      <w:bookmarkEnd w:id="114"/>
    </w:p>
    <w:p>
      <w:pPr>
        <w:pStyle w:val="4"/>
        <w:spacing w:line="578" w:lineRule="exact"/>
        <w:rPr>
          <w:rFonts w:eastAsia="仿宋"/>
        </w:rPr>
      </w:pPr>
      <w:bookmarkStart w:id="115" w:name="_Toc15396631"/>
      <w:bookmarkStart w:id="116" w:name="_Toc26975"/>
      <w:r>
        <w:rPr>
          <w:rStyle w:val="28"/>
          <w:rFonts w:hint="eastAsia" w:ascii="仿宋" w:hAnsi="仿宋" w:eastAsia="仿宋"/>
          <w:b w:val="0"/>
          <w:bCs w:val="0"/>
        </w:rPr>
        <w:t>十三、</w:t>
      </w:r>
      <w:bookmarkEnd w:id="115"/>
      <w:r>
        <w:rPr>
          <w:rStyle w:val="28"/>
          <w:rFonts w:hint="eastAsia" w:ascii="仿宋" w:hAnsi="仿宋" w:eastAsia="仿宋"/>
          <w:b w:val="0"/>
          <w:bCs w:val="0"/>
        </w:rPr>
        <w:t>财政拨款“三公”经费支出决算表</w:t>
      </w:r>
      <w:bookmarkEnd w:id="116"/>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sans-serif">
    <w:altName w:val="微软雅黑"/>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8</w:t>
        </w:r>
        <w:r>
          <w:rPr>
            <w:lang w:val="zh-CN"/>
          </w:rP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ZkMjE5MWVjYWRmOWYxMGE5ZmI1OWJjZGVhOWJlMW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2F0C"/>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16E2D"/>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B6795"/>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1DB8"/>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46B81"/>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0A1B"/>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06689"/>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712CB7"/>
    <w:rsid w:val="02EC1491"/>
    <w:rsid w:val="053A62B5"/>
    <w:rsid w:val="067803E8"/>
    <w:rsid w:val="080206F4"/>
    <w:rsid w:val="0A2032A3"/>
    <w:rsid w:val="0A3C1238"/>
    <w:rsid w:val="0B8A37D8"/>
    <w:rsid w:val="0DB96584"/>
    <w:rsid w:val="10B90E4E"/>
    <w:rsid w:val="10C055FF"/>
    <w:rsid w:val="118107EC"/>
    <w:rsid w:val="11DD6519"/>
    <w:rsid w:val="132D2960"/>
    <w:rsid w:val="14FE238B"/>
    <w:rsid w:val="15F54FFB"/>
    <w:rsid w:val="16BB723D"/>
    <w:rsid w:val="17875674"/>
    <w:rsid w:val="18015F3F"/>
    <w:rsid w:val="19550115"/>
    <w:rsid w:val="1BD51568"/>
    <w:rsid w:val="1BE8440E"/>
    <w:rsid w:val="1D155CEE"/>
    <w:rsid w:val="20F57F95"/>
    <w:rsid w:val="21472A39"/>
    <w:rsid w:val="21BD4A9A"/>
    <w:rsid w:val="240371BF"/>
    <w:rsid w:val="24B65F0C"/>
    <w:rsid w:val="25711CC6"/>
    <w:rsid w:val="25C741E6"/>
    <w:rsid w:val="26065EC9"/>
    <w:rsid w:val="27842671"/>
    <w:rsid w:val="29F243BF"/>
    <w:rsid w:val="29FD04D3"/>
    <w:rsid w:val="2ABE7A3E"/>
    <w:rsid w:val="2CA234A8"/>
    <w:rsid w:val="2E004EBA"/>
    <w:rsid w:val="2EFA178C"/>
    <w:rsid w:val="30B46D73"/>
    <w:rsid w:val="319F7F4E"/>
    <w:rsid w:val="330961CE"/>
    <w:rsid w:val="33C817B8"/>
    <w:rsid w:val="35863AA7"/>
    <w:rsid w:val="383D272C"/>
    <w:rsid w:val="3906276A"/>
    <w:rsid w:val="39AE70AB"/>
    <w:rsid w:val="3C0C0783"/>
    <w:rsid w:val="3C1C4D96"/>
    <w:rsid w:val="3D27FE28"/>
    <w:rsid w:val="3DD22267"/>
    <w:rsid w:val="3F9F3A96"/>
    <w:rsid w:val="41C53136"/>
    <w:rsid w:val="450E1730"/>
    <w:rsid w:val="48BF60AB"/>
    <w:rsid w:val="4910066D"/>
    <w:rsid w:val="493C27E9"/>
    <w:rsid w:val="496F39ED"/>
    <w:rsid w:val="49FF41D3"/>
    <w:rsid w:val="4B3D73BE"/>
    <w:rsid w:val="4BB74194"/>
    <w:rsid w:val="4BE068DB"/>
    <w:rsid w:val="4BF6002B"/>
    <w:rsid w:val="4C3517B7"/>
    <w:rsid w:val="4D9F6A8D"/>
    <w:rsid w:val="4ECE2238"/>
    <w:rsid w:val="4F988005"/>
    <w:rsid w:val="4FA45CC5"/>
    <w:rsid w:val="4FEE0A9E"/>
    <w:rsid w:val="51B96BF1"/>
    <w:rsid w:val="51DB4B86"/>
    <w:rsid w:val="51EFB4A0"/>
    <w:rsid w:val="534B4FFA"/>
    <w:rsid w:val="543534D1"/>
    <w:rsid w:val="55333C3E"/>
    <w:rsid w:val="579774BA"/>
    <w:rsid w:val="582B0813"/>
    <w:rsid w:val="599825F2"/>
    <w:rsid w:val="5AF64E7E"/>
    <w:rsid w:val="5E9C3903"/>
    <w:rsid w:val="5EA031AD"/>
    <w:rsid w:val="635C4A1B"/>
    <w:rsid w:val="64A95249"/>
    <w:rsid w:val="64CA39A1"/>
    <w:rsid w:val="652B69C4"/>
    <w:rsid w:val="66F44096"/>
    <w:rsid w:val="69630ADE"/>
    <w:rsid w:val="69A2037F"/>
    <w:rsid w:val="6C4A05C8"/>
    <w:rsid w:val="6CD0127C"/>
    <w:rsid w:val="6D3B1A89"/>
    <w:rsid w:val="6E4A555D"/>
    <w:rsid w:val="6E8A6799"/>
    <w:rsid w:val="6FB7E37C"/>
    <w:rsid w:val="6FBFA4C8"/>
    <w:rsid w:val="70FF5E42"/>
    <w:rsid w:val="71BF4EC2"/>
    <w:rsid w:val="72734D90"/>
    <w:rsid w:val="73835B5A"/>
    <w:rsid w:val="7412278C"/>
    <w:rsid w:val="74CA1AF6"/>
    <w:rsid w:val="75336D2D"/>
    <w:rsid w:val="761756AB"/>
    <w:rsid w:val="781F28CB"/>
    <w:rsid w:val="79E7B28D"/>
    <w:rsid w:val="7A3D42E4"/>
    <w:rsid w:val="7BA343FF"/>
    <w:rsid w:val="7D32679C"/>
    <w:rsid w:val="7F9F20EE"/>
    <w:rsid w:val="9E3A10E2"/>
    <w:rsid w:val="D7FE0D24"/>
    <w:rsid w:val="F2E1F9D4"/>
    <w:rsid w:val="F7880819"/>
    <w:rsid w:val="FFFB452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6">
    <w:name w:val="Normal Indent"/>
    <w:basedOn w:val="1"/>
    <w:qFormat/>
    <w:uiPriority w:val="0"/>
    <w:pPr>
      <w:ind w:firstLine="420"/>
    </w:pPr>
    <w:rPr>
      <w:szCs w:val="20"/>
    </w:rPr>
  </w:style>
  <w:style w:type="paragraph" w:styleId="7">
    <w:name w:val="Body Text"/>
    <w:basedOn w:val="1"/>
    <w:link w:val="25"/>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semiHidden/>
    <w:unhideWhenUsed/>
    <w:qFormat/>
    <w:uiPriority w:val="99"/>
    <w:rPr>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7"/>
    <w:qFormat/>
    <w:locked/>
    <w:uiPriority w:val="99"/>
    <w:rPr>
      <w:rFonts w:ascii="仿宋_GB2312" w:hAnsi="Times New Roman" w:eastAsia="仿宋_GB2312"/>
      <w:sz w:val="24"/>
    </w:rPr>
  </w:style>
  <w:style w:type="paragraph" w:styleId="26">
    <w:name w:val="List Paragraph"/>
    <w:basedOn w:val="1"/>
    <w:qFormat/>
    <w:uiPriority w:val="34"/>
    <w:pPr>
      <w:ind w:firstLine="420" w:firstLineChars="200"/>
    </w:pPr>
  </w:style>
  <w:style w:type="character" w:customStyle="1" w:styleId="27">
    <w:name w:val="标题 1 Char"/>
    <w:basedOn w:val="17"/>
    <w:link w:val="3"/>
    <w:qFormat/>
    <w:uiPriority w:val="9"/>
    <w:rPr>
      <w:rFonts w:ascii="Times New Roman" w:hAnsi="Times New Roman"/>
      <w:b/>
      <w:bCs/>
      <w:kern w:val="44"/>
      <w:sz w:val="44"/>
      <w:szCs w:val="44"/>
    </w:rPr>
  </w:style>
  <w:style w:type="character" w:customStyle="1" w:styleId="28">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批注框文本 Char"/>
    <w:basedOn w:val="17"/>
    <w:link w:val="9"/>
    <w:semiHidden/>
    <w:qFormat/>
    <w:uiPriority w:val="99"/>
    <w:rPr>
      <w:rFonts w:ascii="Times New Roman" w:hAnsi="Times New Roman"/>
      <w:kern w:val="2"/>
      <w:sz w:val="18"/>
      <w:szCs w:val="18"/>
    </w:rPr>
  </w:style>
  <w:style w:type="character" w:customStyle="1" w:styleId="31">
    <w:name w:val="标题 3 Char"/>
    <w:basedOn w:val="17"/>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3">
    <w:name w:val="WPSOffice手动目录 1"/>
    <w:qFormat/>
    <w:uiPriority w:val="0"/>
    <w:rPr>
      <w:rFonts w:ascii="Times New Roman" w:hAnsi="Times New Roman" w:eastAsia="宋体" w:cs="Times New Roman"/>
      <w:lang w:val="en-US" w:eastAsia="zh-CN" w:bidi="ar-SA"/>
    </w:rPr>
  </w:style>
  <w:style w:type="paragraph" w:customStyle="1" w:styleId="3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36">
    <w:name w:val="汇政正文-最终版"/>
    <w:basedOn w:val="1"/>
    <w:qFormat/>
    <w:uiPriority w:val="3"/>
    <w:pPr>
      <w:spacing w:line="600" w:lineRule="exact"/>
      <w:ind w:firstLine="200" w:firstLineChars="200"/>
    </w:pPr>
    <w:rPr>
      <w:kern w:val="0"/>
      <w:szCs w:val="28"/>
      <w:lang w:val="zh-CN"/>
    </w:rPr>
  </w:style>
  <w:style w:type="paragraph" w:customStyle="1" w:styleId="37">
    <w:name w:val="正文1"/>
    <w:qFormat/>
    <w:uiPriority w:val="0"/>
    <w:pPr>
      <w:widowControl w:val="0"/>
      <w:jc w:val="both"/>
    </w:pPr>
    <w:rPr>
      <w:rFonts w:ascii="Times New Roman" w:hAnsi="Times New Roman" w:eastAsia="宋体" w:cs="Times New Roman"/>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22-2023&#20943;&#28798;&#20013;&#24515;&#30005;&#36153;&#23545;&#27604;&#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022-2023&#20943;&#28798;&#20013;&#24515;&#30005;&#36153;&#23545;&#27604;&#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22-2023&#20943;&#28798;&#20013;&#24515;&#30005;&#36153;&#23545;&#27604;&#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22-2023&#20943;&#28798;&#20013;&#24515;&#30005;&#36153;&#23545;&#27604;&#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022-2023&#20943;&#28798;&#20013;&#24515;&#30005;&#36153;&#23545;&#27604;&#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022-2023&#20943;&#28798;&#20013;&#24515;&#30005;&#36153;&#23545;&#27604;&#349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022-2023&#20943;&#28798;&#20013;&#24515;&#30005;&#36153;&#23545;&#27604;&#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'[2022-2023减灾中心电费对比表.xls]Sheet2'!$A$2</c:f>
              <c:strCache>
                <c:ptCount val="1"/>
                <c:pt idx="0">
                  <c:v>2021年</c:v>
                </c:pt>
              </c:strCache>
            </c:strRef>
          </c:tx>
          <c:spPr>
            <a:solidFill>
              <a:schemeClr val="accent6">
                <a:lumMod val="75000"/>
              </a:schemeClr>
            </a:solidFill>
            <a:ln w="19050">
              <a:solidFill>
                <a:schemeClr val="lt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'[2022-2023减灾中心电费对比表.xls]Sheet2'!$B$1:$C$1</c:f>
              <c:strCache>
                <c:ptCount val="2"/>
                <c:pt idx="0">
                  <c:v>收入总计</c:v>
                </c:pt>
                <c:pt idx="1">
                  <c:v>支出总计</c:v>
                </c:pt>
              </c:strCache>
            </c:strRef>
          </c:cat>
          <c:val>
            <c:numRef>
              <c:f>'[2022-2023减灾中心电费对比表.xls]Sheet2'!$B$2:$C$2</c:f>
              <c:numCache>
                <c:formatCode>General</c:formatCode>
                <c:ptCount val="2"/>
                <c:pt idx="0">
                  <c:v>152.72</c:v>
                </c:pt>
                <c:pt idx="1">
                  <c:v>152.72</c:v>
                </c:pt>
              </c:numCache>
            </c:numRef>
          </c:val>
        </c:ser>
        <c:ser>
          <c:idx val="1"/>
          <c:order val="1"/>
          <c:tx>
            <c:strRef>
              <c:f>'[2022-2023减灾中心电费对比表.xls]Sheet2'!$A$3</c:f>
              <c:strCache>
                <c:ptCount val="1"/>
                <c:pt idx="0">
                  <c:v>2022年</c:v>
                </c:pt>
              </c:strCache>
            </c:strRef>
          </c:tx>
          <c:spPr>
            <a:solidFill>
              <a:schemeClr val="accent2"/>
            </a:solidFill>
            <a:ln w="19050">
              <a:solidFill>
                <a:schemeClr val="lt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'[2022-2023减灾中心电费对比表.xls]Sheet2'!$B$1:$C$1</c:f>
              <c:strCache>
                <c:ptCount val="2"/>
                <c:pt idx="0">
                  <c:v>收入总计</c:v>
                </c:pt>
                <c:pt idx="1">
                  <c:v>支出总计</c:v>
                </c:pt>
              </c:strCache>
            </c:strRef>
          </c:cat>
          <c:val>
            <c:numRef>
              <c:f>'[2022-2023减灾中心电费对比表.xls]Sheet2'!$B$3:$C$3</c:f>
              <c:numCache>
                <c:formatCode>General</c:formatCode>
                <c:ptCount val="2"/>
                <c:pt idx="0">
                  <c:v>199.15</c:v>
                </c:pt>
                <c:pt idx="1">
                  <c:v>199.15</c:v>
                </c:pt>
              </c:numCache>
            </c:numRef>
          </c:val>
        </c:ser>
        <c:dLbls>
          <c:showLegendKey val="0"/>
          <c:showVal val="1"/>
          <c:showCatName val="0"/>
          <c:showSerName val="0"/>
          <c:showPercent val="0"/>
          <c:showBubbleSize val="0"/>
        </c:dLbls>
        <c:gapWidth val="75"/>
        <c:axId val="78697216"/>
        <c:axId val="78698752"/>
      </c:barChart>
      <c:catAx>
        <c:axId val="78697216"/>
        <c:scaling>
          <c:orientation val="minMax"/>
        </c:scaling>
        <c:delete val="0"/>
        <c:axPos val="b"/>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698752"/>
        <c:crosses val="autoZero"/>
        <c:auto val="1"/>
        <c:lblAlgn val="ctr"/>
        <c:lblOffset val="100"/>
        <c:noMultiLvlLbl val="0"/>
      </c:catAx>
      <c:valAx>
        <c:axId val="78698752"/>
        <c:scaling>
          <c:orientation val="minMax"/>
        </c:scaling>
        <c:delete val="0"/>
        <c:axPos val="l"/>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69721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'[2022-2023减灾中心电费对比表.xls]Sheet3'!$A$4</c:f>
              <c:strCache>
                <c:ptCount val="1"/>
                <c:pt idx="0">
                  <c:v/>
                </c:pt>
              </c:strCache>
            </c:strRef>
          </c:tx>
          <c:explosion val="0"/>
          <c:dPt>
            <c:idx val="0"/>
            <c:bubble3D val="0"/>
            <c:spPr>
              <a:solidFill>
                <a:schemeClr val="accent6"/>
              </a:solidFill>
              <a:ln>
                <a:noFill/>
              </a:ln>
              <a:effectLst/>
            </c:spPr>
          </c:dPt>
          <c:dPt>
            <c:idx val="1"/>
            <c:bubble3D val="0"/>
            <c:spPr>
              <a:solidFill>
                <a:schemeClr val="accent2"/>
              </a:solidFill>
              <a:ln>
                <a:noFill/>
              </a:ln>
              <a:effectLst/>
            </c:spPr>
          </c:dPt>
          <c:dPt>
            <c:idx val="2"/>
            <c:bubble3D val="0"/>
            <c:spPr>
              <a:solidFill>
                <a:schemeClr val="accent3"/>
              </a:solidFill>
              <a:ln>
                <a:noFill/>
              </a:ln>
              <a:effectLst/>
            </c:spPr>
          </c:dPt>
          <c:dPt>
            <c:idx val="3"/>
            <c:bubble3D val="0"/>
            <c:spPr>
              <a:solidFill>
                <a:schemeClr val="accent4"/>
              </a:solidFill>
              <a:ln>
                <a:noFill/>
              </a:ln>
              <a:effectLst/>
            </c:spPr>
          </c:dPt>
          <c:dPt>
            <c:idx val="4"/>
            <c:bubble3D val="0"/>
            <c:spPr>
              <a:solidFill>
                <a:schemeClr val="accent5"/>
              </a:solidFill>
              <a:ln>
                <a:noFill/>
              </a:ln>
              <a:effectLst/>
            </c:spPr>
          </c:dPt>
          <c:dPt>
            <c:idx val="5"/>
            <c:bubble3D val="0"/>
            <c:spPr>
              <a:solidFill>
                <a:schemeClr val="accent6"/>
              </a:solidFill>
              <a:ln>
                <a:noFill/>
              </a:ln>
              <a:effectLst/>
            </c:spPr>
          </c:dPt>
          <c:dPt>
            <c:idx val="6"/>
            <c:bubble3D val="0"/>
            <c:spPr>
              <a:solidFill>
                <a:schemeClr val="accent1">
                  <a:lumMod val="60000"/>
                </a:schemeClr>
              </a:solidFill>
              <a:ln>
                <a:noFill/>
              </a:ln>
              <a:effectLst/>
            </c:spPr>
          </c:dPt>
          <c:dPt>
            <c:idx val="7"/>
            <c:bubble3D val="0"/>
            <c:spPr>
              <a:solidFill>
                <a:schemeClr val="accent2">
                  <a:lumMod val="60000"/>
                </a:schemeClr>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'[2022-2023减灾中心电费对比表.xls]Sheet3'!$B$3:$I$3</c:f>
              <c:strCache>
                <c:ptCount val="8"/>
                <c:pt idx="0">
                  <c:v>一般公共预算财政拨款收</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'[2022-2023减灾中心电费对比表.xls]Sheet3'!$B$4:$I$4</c:f>
              <c:numCache>
                <c:formatCode>General</c:formatCode>
                <c:ptCount val="8"/>
                <c:pt idx="0">
                  <c:v>199.15</c:v>
                </c:pt>
                <c:pt idx="1">
                  <c:v>0</c:v>
                </c:pt>
                <c:pt idx="2">
                  <c:v>0</c:v>
                </c:pt>
                <c:pt idx="3">
                  <c:v>0</c:v>
                </c:pt>
                <c:pt idx="4">
                  <c:v>0</c:v>
                </c:pt>
                <c:pt idx="5">
                  <c:v>0</c:v>
                </c:pt>
                <c:pt idx="6">
                  <c:v>0</c:v>
                </c:pt>
                <c:pt idx="7">
                  <c:v>0</c:v>
                </c:pt>
              </c:numCache>
            </c:numRef>
          </c:val>
        </c:ser>
        <c:ser>
          <c:idx val="1"/>
          <c:order val="1"/>
          <c:tx>
            <c:strRef>
              <c:f>'[2022-2023减灾中心电费对比表.xls]Sheet3'!#REF!</c:f>
              <c:strCache>
                <c:ptCount val="1"/>
                <c:pt idx="0">
                  <c:v/>
                </c:pt>
              </c:strCache>
            </c:strRef>
          </c:tx>
          <c:explosion val="0"/>
          <c:dPt>
            <c:idx val="0"/>
            <c:bubble3D val="0"/>
            <c:spPr>
              <a:solidFill>
                <a:schemeClr val="accent1"/>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'[2022-2023减灾中心电费对比表.xls]Sheet3'!$B$3:$I$3</c:f>
              <c:strCache>
                <c:ptCount val="8"/>
                <c:pt idx="0">
                  <c:v>一般公共预算财政拨款收</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'[2022-2023减灾中心电费对比表.xls]Sheet3'!#REF!</c:f>
              <c:numCache>
                <c:formatCode>General</c:formatCode>
                <c:ptCount val="1"/>
                <c:pt idx="0">
                  <c:v>1</c:v>
                </c:pt>
              </c:numCache>
            </c:numRef>
          </c:val>
        </c:ser>
        <c:ser>
          <c:idx val="2"/>
          <c:order val="2"/>
          <c:tx>
            <c:strRef>
              <c:f>'[2022-2023减灾中心电费对比表.xls]Sheet3'!#REF!</c:f>
              <c:strCache>
                <c:ptCount val="1"/>
                <c:pt idx="0">
                  <c:v/>
                </c:pt>
              </c:strCache>
            </c:strRef>
          </c:tx>
          <c:explosion val="0"/>
          <c:dPt>
            <c:idx val="0"/>
            <c:bubble3D val="0"/>
            <c:spPr>
              <a:solidFill>
                <a:schemeClr val="accent1"/>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'[2022-2023减灾中心电费对比表.xls]Sheet3'!$B$3:$I$3</c:f>
              <c:strCache>
                <c:ptCount val="8"/>
                <c:pt idx="0">
                  <c:v>一般公共预算财政拨款收</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'[2022-2023减灾中心电费对比表.xls]Sheet3'!#REF!</c:f>
              <c:numCache>
                <c:formatCode>General</c:formatCode>
                <c:ptCount val="1"/>
                <c:pt idx="0">
                  <c:v>1</c:v>
                </c:pt>
              </c:numCache>
            </c:numRef>
          </c:val>
        </c:ser>
        <c:ser>
          <c:idx val="3"/>
          <c:order val="3"/>
          <c:tx>
            <c:strRef>
              <c:f>'[2022-2023减灾中心电费对比表.xls]Sheet3'!#REF!</c:f>
              <c:strCache>
                <c:ptCount val="1"/>
                <c:pt idx="0">
                  <c:v/>
                </c:pt>
              </c:strCache>
            </c:strRef>
          </c:tx>
          <c:explosion val="0"/>
          <c:dPt>
            <c:idx val="0"/>
            <c:bubble3D val="0"/>
            <c:spPr>
              <a:solidFill>
                <a:schemeClr val="accent1"/>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'[2022-2023减灾中心电费对比表.xls]Sheet3'!$B$3:$I$3</c:f>
              <c:strCache>
                <c:ptCount val="8"/>
                <c:pt idx="0">
                  <c:v>一般公共预算财政拨款收</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'[2022-2023减灾中心电费对比表.xls]Sheet3'!#REF!</c:f>
              <c:numCache>
                <c:formatCode>General</c:formatCode>
                <c:ptCount val="1"/>
                <c:pt idx="0">
                  <c:v>1</c:v>
                </c:pt>
              </c:numCache>
            </c:numRef>
          </c:val>
        </c:ser>
        <c:ser>
          <c:idx val="4"/>
          <c:order val="4"/>
          <c:tx>
            <c:strRef>
              <c:f>'[2022-2023减灾中心电费对比表.xls]Sheet3'!#REF!</c:f>
              <c:strCache>
                <c:ptCount val="1"/>
                <c:pt idx="0">
                  <c:v/>
                </c:pt>
              </c:strCache>
            </c:strRef>
          </c:tx>
          <c:explosion val="0"/>
          <c:dPt>
            <c:idx val="0"/>
            <c:bubble3D val="0"/>
            <c:spPr>
              <a:solidFill>
                <a:schemeClr val="accent1"/>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'[2022-2023减灾中心电费对比表.xls]Sheet3'!$B$3:$I$3</c:f>
              <c:strCache>
                <c:ptCount val="8"/>
                <c:pt idx="0">
                  <c:v>一般公共预算财政拨款收</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'[2022-2023减灾中心电费对比表.xls]Sheet3'!#REF!</c:f>
              <c:numCache>
                <c:formatCode>General</c:formatCode>
                <c:ptCount val="1"/>
                <c:pt idx="0">
                  <c:v>1</c:v>
                </c:pt>
              </c:numCache>
            </c:numRef>
          </c:val>
        </c:ser>
        <c:ser>
          <c:idx val="5"/>
          <c:order val="5"/>
          <c:tx>
            <c:strRef>
              <c:f>'[2022-2023减灾中心电费对比表.xls]Sheet3'!#REF!</c:f>
              <c:strCache>
                <c:ptCount val="1"/>
                <c:pt idx="0">
                  <c:v/>
                </c:pt>
              </c:strCache>
            </c:strRef>
          </c:tx>
          <c:explosion val="0"/>
          <c:dPt>
            <c:idx val="0"/>
            <c:bubble3D val="0"/>
            <c:spPr>
              <a:solidFill>
                <a:schemeClr val="accent1"/>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'[2022-2023减灾中心电费对比表.xls]Sheet3'!$B$3:$I$3</c:f>
              <c:strCache>
                <c:ptCount val="8"/>
                <c:pt idx="0">
                  <c:v>一般公共预算财政拨款收</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'[2022-2023减灾中心电费对比表.xls]Sheet3'!#REF!</c:f>
              <c:numCache>
                <c:formatCode>General</c:formatCode>
                <c:ptCount val="1"/>
                <c:pt idx="0">
                  <c:v>1</c:v>
                </c:pt>
              </c:numCache>
            </c:numRef>
          </c:val>
        </c:ser>
        <c:ser>
          <c:idx val="6"/>
          <c:order val="6"/>
          <c:tx>
            <c:strRef>
              <c:f>'[2022-2023减灾中心电费对比表.xls]Sheet3'!#REF!</c:f>
              <c:strCache>
                <c:ptCount val="1"/>
                <c:pt idx="0">
                  <c:v/>
                </c:pt>
              </c:strCache>
            </c:strRef>
          </c:tx>
          <c:explosion val="0"/>
          <c:dPt>
            <c:idx val="0"/>
            <c:bubble3D val="0"/>
            <c:spPr>
              <a:solidFill>
                <a:schemeClr val="accent1"/>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'[2022-2023减灾中心电费对比表.xls]Sheet3'!$B$3:$I$3</c:f>
              <c:strCache>
                <c:ptCount val="8"/>
                <c:pt idx="0">
                  <c:v>一般公共预算财政拨款收</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'[2022-2023减灾中心电费对比表.xls]Sheet3'!#REF!</c:f>
              <c:numCache>
                <c:formatCode>General</c:formatCode>
                <c:ptCount val="1"/>
                <c:pt idx="0">
                  <c:v>1</c:v>
                </c:pt>
              </c:numCache>
            </c:numRef>
          </c:val>
        </c:ser>
        <c:ser>
          <c:idx val="7"/>
          <c:order val="7"/>
          <c:tx>
            <c:strRef>
              <c:f>'[2022-2023减灾中心电费对比表.xls]Sheet3'!#REF!</c:f>
              <c:strCache>
                <c:ptCount val="1"/>
                <c:pt idx="0">
                  <c:v/>
                </c:pt>
              </c:strCache>
            </c:strRef>
          </c:tx>
          <c:explosion val="0"/>
          <c:dPt>
            <c:idx val="0"/>
            <c:bubble3D val="0"/>
            <c:spPr>
              <a:solidFill>
                <a:schemeClr val="accent1"/>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'[2022-2023减灾中心电费对比表.xls]Sheet3'!$B$3:$I$3</c:f>
              <c:strCache>
                <c:ptCount val="8"/>
                <c:pt idx="0">
                  <c:v>一般公共预算财政拨款收</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'[2022-2023减灾中心电费对比表.xls]Sheet3'!#REF!</c:f>
              <c:numCache>
                <c:formatCode>General</c:formatCode>
                <c:ptCount val="1"/>
                <c:pt idx="0">
                  <c:v>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'[2022-2023减灾中心电费对比表.xls]Sheet3'!$A$4</c:f>
              <c:strCache>
                <c:ptCount val="1"/>
                <c:pt idx="0">
                  <c:v/>
                </c:pt>
              </c:strCache>
            </c:strRef>
          </c:tx>
          <c:explosion val="0"/>
          <c:dPt>
            <c:idx val="0"/>
            <c:bubble3D val="0"/>
            <c:spPr>
              <a:solidFill>
                <a:schemeClr val="accent4"/>
              </a:solidFill>
              <a:ln>
                <a:noFill/>
              </a:ln>
              <a:effectLst/>
            </c:spPr>
          </c:dPt>
          <c:dPt>
            <c:idx val="1"/>
            <c:bubble3D val="0"/>
            <c:spPr>
              <a:solidFill>
                <a:schemeClr val="accent1">
                  <a:lumMod val="75000"/>
                </a:schemeClr>
              </a:solidFill>
              <a:ln>
                <a:noFill/>
              </a:ln>
              <a:effectLst/>
            </c:spPr>
          </c:dPt>
          <c:dPt>
            <c:idx val="2"/>
            <c:bubble3D val="0"/>
            <c:spPr>
              <a:solidFill>
                <a:schemeClr val="accent3"/>
              </a:solidFill>
              <a:ln>
                <a:noFill/>
              </a:ln>
              <a:effectLst/>
            </c:spPr>
          </c:dPt>
          <c:dPt>
            <c:idx val="3"/>
            <c:bubble3D val="0"/>
            <c:spPr>
              <a:solidFill>
                <a:schemeClr val="accent6">
                  <a:lumMod val="75000"/>
                </a:schemeClr>
              </a:solidFill>
              <a:ln>
                <a:noFill/>
              </a:ln>
              <a:effectLst/>
            </c:spPr>
          </c:dPt>
          <c:dPt>
            <c:idx val="4"/>
            <c:bubble3D val="0"/>
            <c:spPr>
              <a:solidFill>
                <a:schemeClr val="accent5"/>
              </a:solidFill>
              <a:ln>
                <a:noFill/>
              </a:ln>
              <a:effectLst/>
            </c:spPr>
          </c:dPt>
          <c:dPt>
            <c:idx val="5"/>
            <c:bubble3D val="0"/>
            <c:spPr>
              <a:solidFill>
                <a:schemeClr val="accent6"/>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'[2022-2023减灾中心电费对比表.xls]Sheet3'!$B$3:$G$3</c:f>
              <c:strCache>
                <c:ptCount val="6"/>
                <c:pt idx="0">
                  <c:v>基本支出</c:v>
                </c:pt>
                <c:pt idx="1">
                  <c:v>项目支出</c:v>
                </c:pt>
                <c:pt idx="2">
                  <c:v>项目支出</c:v>
                </c:pt>
                <c:pt idx="3">
                  <c:v>上缴上级支出</c:v>
                </c:pt>
                <c:pt idx="4">
                  <c:v>经营支出</c:v>
                </c:pt>
                <c:pt idx="5">
                  <c:v>对附属单位补助支出</c:v>
                </c:pt>
              </c:strCache>
            </c:strRef>
          </c:cat>
          <c:val>
            <c:numRef>
              <c:f>'[2022-2023减灾中心电费对比表.xls]Sheet3'!$B$4:$G$4</c:f>
              <c:numCache>
                <c:formatCode>General</c:formatCode>
                <c:ptCount val="6"/>
                <c:pt idx="0">
                  <c:v>194.65</c:v>
                </c:pt>
                <c:pt idx="1">
                  <c:v>4.5</c:v>
                </c:pt>
              </c:numCache>
            </c:numRef>
          </c:val>
        </c:ser>
        <c:ser>
          <c:idx val="1"/>
          <c:order val="1"/>
          <c:tx>
            <c:strRef>
              <c:f>'[2022-2023减灾中心电费对比表.xls]Sheet3'!#REF!</c:f>
              <c:strCache>
                <c:ptCount val="1"/>
                <c:pt idx="0">
                  <c:v/>
                </c:pt>
              </c:strCache>
            </c:strRef>
          </c:tx>
          <c:explosion val="0"/>
          <c:dPt>
            <c:idx val="0"/>
            <c:bubble3D val="0"/>
            <c:spPr>
              <a:solidFill>
                <a:schemeClr val="accent1"/>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'[2022-2023减灾中心电费对比表.xls]Sheet3'!$B$3:$G$3</c:f>
              <c:strCache>
                <c:ptCount val="6"/>
                <c:pt idx="0">
                  <c:v>基本支出</c:v>
                </c:pt>
                <c:pt idx="1">
                  <c:v>项目支出</c:v>
                </c:pt>
                <c:pt idx="2">
                  <c:v>项目支出</c:v>
                </c:pt>
                <c:pt idx="3">
                  <c:v>上缴上级支出</c:v>
                </c:pt>
                <c:pt idx="4">
                  <c:v>经营支出</c:v>
                </c:pt>
                <c:pt idx="5">
                  <c:v>对附属单位补助支出</c:v>
                </c:pt>
              </c:strCache>
            </c:strRef>
          </c:cat>
          <c:val>
            <c:numRef>
              <c:f>'[2022-2023减灾中心电费对比表.xls]Sheet3'!#REF!</c:f>
              <c:numCache>
                <c:formatCode>General</c:formatCode>
                <c:ptCount val="1"/>
                <c:pt idx="0">
                  <c:v>1</c:v>
                </c:pt>
              </c:numCache>
            </c:numRef>
          </c:val>
        </c:ser>
        <c:ser>
          <c:idx val="2"/>
          <c:order val="2"/>
          <c:tx>
            <c:strRef>
              <c:f>'[2022-2023减灾中心电费对比表.xls]Sheet3'!#REF!</c:f>
              <c:strCache>
                <c:ptCount val="1"/>
                <c:pt idx="0">
                  <c:v/>
                </c:pt>
              </c:strCache>
            </c:strRef>
          </c:tx>
          <c:explosion val="0"/>
          <c:dPt>
            <c:idx val="0"/>
            <c:bubble3D val="0"/>
            <c:spPr>
              <a:solidFill>
                <a:schemeClr val="accent1"/>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'[2022-2023减灾中心电费对比表.xls]Sheet3'!$B$3:$G$3</c:f>
              <c:strCache>
                <c:ptCount val="6"/>
                <c:pt idx="0">
                  <c:v>基本支出</c:v>
                </c:pt>
                <c:pt idx="1">
                  <c:v>项目支出</c:v>
                </c:pt>
                <c:pt idx="2">
                  <c:v>项目支出</c:v>
                </c:pt>
                <c:pt idx="3">
                  <c:v>上缴上级支出</c:v>
                </c:pt>
                <c:pt idx="4">
                  <c:v>经营支出</c:v>
                </c:pt>
                <c:pt idx="5">
                  <c:v>对附属单位补助支出</c:v>
                </c:pt>
              </c:strCache>
            </c:strRef>
          </c:cat>
          <c:val>
            <c:numRef>
              <c:f>'[2022-2023减灾中心电费对比表.xls]Sheet3'!#REF!</c:f>
              <c:numCache>
                <c:formatCode>General</c:formatCode>
                <c:ptCount val="1"/>
                <c:pt idx="0">
                  <c:v>1</c:v>
                </c:pt>
              </c:numCache>
            </c:numRef>
          </c:val>
        </c:ser>
        <c:ser>
          <c:idx val="3"/>
          <c:order val="3"/>
          <c:tx>
            <c:strRef>
              <c:f>'[2022-2023减灾中心电费对比表.xls]Sheet3'!#REF!</c:f>
              <c:strCache>
                <c:ptCount val="1"/>
                <c:pt idx="0">
                  <c:v/>
                </c:pt>
              </c:strCache>
            </c:strRef>
          </c:tx>
          <c:explosion val="0"/>
          <c:dPt>
            <c:idx val="0"/>
            <c:bubble3D val="0"/>
            <c:spPr>
              <a:solidFill>
                <a:schemeClr val="accent1"/>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'[2022-2023减灾中心电费对比表.xls]Sheet3'!$B$3:$G$3</c:f>
              <c:strCache>
                <c:ptCount val="6"/>
                <c:pt idx="0">
                  <c:v>基本支出</c:v>
                </c:pt>
                <c:pt idx="1">
                  <c:v>项目支出</c:v>
                </c:pt>
                <c:pt idx="2">
                  <c:v>项目支出</c:v>
                </c:pt>
                <c:pt idx="3">
                  <c:v>上缴上级支出</c:v>
                </c:pt>
                <c:pt idx="4">
                  <c:v>经营支出</c:v>
                </c:pt>
                <c:pt idx="5">
                  <c:v>对附属单位补助支出</c:v>
                </c:pt>
              </c:strCache>
            </c:strRef>
          </c:cat>
          <c:val>
            <c:numRef>
              <c:f>'[2022-2023减灾中心电费对比表.xls]Sheet3'!#REF!</c:f>
              <c:numCache>
                <c:formatCode>General</c:formatCode>
                <c:ptCount val="1"/>
                <c:pt idx="0">
                  <c:v>1</c:v>
                </c:pt>
              </c:numCache>
            </c:numRef>
          </c:val>
        </c:ser>
        <c:ser>
          <c:idx val="4"/>
          <c:order val="4"/>
          <c:tx>
            <c:strRef>
              <c:f>'[2022-2023减灾中心电费对比表.xls]Sheet3'!#REF!</c:f>
              <c:strCache>
                <c:ptCount val="1"/>
                <c:pt idx="0">
                  <c:v/>
                </c:pt>
              </c:strCache>
            </c:strRef>
          </c:tx>
          <c:explosion val="0"/>
          <c:dPt>
            <c:idx val="0"/>
            <c:bubble3D val="0"/>
            <c:spPr>
              <a:solidFill>
                <a:schemeClr val="accent1"/>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'[2022-2023减灾中心电费对比表.xls]Sheet3'!$B$3:$G$3</c:f>
              <c:strCache>
                <c:ptCount val="6"/>
                <c:pt idx="0">
                  <c:v>基本支出</c:v>
                </c:pt>
                <c:pt idx="1">
                  <c:v>项目支出</c:v>
                </c:pt>
                <c:pt idx="2">
                  <c:v>项目支出</c:v>
                </c:pt>
                <c:pt idx="3">
                  <c:v>上缴上级支出</c:v>
                </c:pt>
                <c:pt idx="4">
                  <c:v>经营支出</c:v>
                </c:pt>
                <c:pt idx="5">
                  <c:v>对附属单位补助支出</c:v>
                </c:pt>
              </c:strCache>
            </c:strRef>
          </c:cat>
          <c:val>
            <c:numRef>
              <c:f>'[2022-2023减灾中心电费对比表.xls]Sheet3'!#REF!</c:f>
              <c:numCache>
                <c:formatCode>General</c:formatCode>
                <c:ptCount val="1"/>
                <c:pt idx="0">
                  <c:v>1</c:v>
                </c:pt>
              </c:numCache>
            </c:numRef>
          </c:val>
        </c:ser>
        <c:ser>
          <c:idx val="5"/>
          <c:order val="5"/>
          <c:tx>
            <c:strRef>
              <c:f>'[2022-2023减灾中心电费对比表.xls]Sheet3'!#REF!</c:f>
              <c:strCache>
                <c:ptCount val="1"/>
                <c:pt idx="0">
                  <c:v/>
                </c:pt>
              </c:strCache>
            </c:strRef>
          </c:tx>
          <c:explosion val="0"/>
          <c:dPt>
            <c:idx val="0"/>
            <c:bubble3D val="0"/>
            <c:spPr>
              <a:solidFill>
                <a:schemeClr val="accent1"/>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'[2022-2023减灾中心电费对比表.xls]Sheet3'!$B$3:$G$3</c:f>
              <c:strCache>
                <c:ptCount val="6"/>
                <c:pt idx="0">
                  <c:v>基本支出</c:v>
                </c:pt>
                <c:pt idx="1">
                  <c:v>项目支出</c:v>
                </c:pt>
                <c:pt idx="2">
                  <c:v>项目支出</c:v>
                </c:pt>
                <c:pt idx="3">
                  <c:v>上缴上级支出</c:v>
                </c:pt>
                <c:pt idx="4">
                  <c:v>经营支出</c:v>
                </c:pt>
                <c:pt idx="5">
                  <c:v>对附属单位补助支出</c:v>
                </c:pt>
              </c:strCache>
            </c:strRef>
          </c:cat>
          <c:val>
            <c:numRef>
              <c:f>'[2022-2023减灾中心电费对比表.xls]Sheet3'!#REF!</c:f>
              <c:numCache>
                <c:formatCode>General</c:formatCode>
                <c:ptCount val="1"/>
                <c:pt idx="0">
                  <c:v>1</c:v>
                </c:pt>
              </c:numCache>
            </c:numRef>
          </c:val>
        </c:ser>
        <c:ser>
          <c:idx val="6"/>
          <c:order val="6"/>
          <c:tx>
            <c:strRef>
              <c:f>'[2022-2023减灾中心电费对比表.xls]Sheet3'!#REF!</c:f>
              <c:strCache>
                <c:ptCount val="1"/>
                <c:pt idx="0">
                  <c:v/>
                </c:pt>
              </c:strCache>
            </c:strRef>
          </c:tx>
          <c:explosion val="0"/>
          <c:dPt>
            <c:idx val="0"/>
            <c:bubble3D val="0"/>
            <c:spPr>
              <a:solidFill>
                <a:schemeClr val="accent1"/>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'[2022-2023减灾中心电费对比表.xls]Sheet3'!$B$3:$G$3</c:f>
              <c:strCache>
                <c:ptCount val="6"/>
                <c:pt idx="0">
                  <c:v>基本支出</c:v>
                </c:pt>
                <c:pt idx="1">
                  <c:v>项目支出</c:v>
                </c:pt>
                <c:pt idx="2">
                  <c:v>项目支出</c:v>
                </c:pt>
                <c:pt idx="3">
                  <c:v>上缴上级支出</c:v>
                </c:pt>
                <c:pt idx="4">
                  <c:v>经营支出</c:v>
                </c:pt>
                <c:pt idx="5">
                  <c:v>对附属单位补助支出</c:v>
                </c:pt>
              </c:strCache>
            </c:strRef>
          </c:cat>
          <c:val>
            <c:numRef>
              <c:f>'[2022-2023减灾中心电费对比表.xls]Sheet3'!#REF!</c:f>
              <c:numCache>
                <c:formatCode>General</c:formatCode>
                <c:ptCount val="1"/>
                <c:pt idx="0">
                  <c:v>1</c:v>
                </c:pt>
              </c:numCache>
            </c:numRef>
          </c:val>
        </c:ser>
        <c:ser>
          <c:idx val="7"/>
          <c:order val="7"/>
          <c:tx>
            <c:strRef>
              <c:f>'[2022-2023减灾中心电费对比表.xls]Sheet3'!#REF!</c:f>
              <c:strCache>
                <c:ptCount val="1"/>
                <c:pt idx="0">
                  <c:v/>
                </c:pt>
              </c:strCache>
            </c:strRef>
          </c:tx>
          <c:explosion val="0"/>
          <c:dPt>
            <c:idx val="0"/>
            <c:bubble3D val="0"/>
            <c:spPr>
              <a:solidFill>
                <a:schemeClr val="accent1"/>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'[2022-2023减灾中心电费对比表.xls]Sheet3'!$B$3:$G$3</c:f>
              <c:strCache>
                <c:ptCount val="6"/>
                <c:pt idx="0">
                  <c:v>基本支出</c:v>
                </c:pt>
                <c:pt idx="1">
                  <c:v>项目支出</c:v>
                </c:pt>
                <c:pt idx="2">
                  <c:v>项目支出</c:v>
                </c:pt>
                <c:pt idx="3">
                  <c:v>上缴上级支出</c:v>
                </c:pt>
                <c:pt idx="4">
                  <c:v>经营支出</c:v>
                </c:pt>
                <c:pt idx="5">
                  <c:v>对附属单位补助支出</c:v>
                </c:pt>
              </c:strCache>
            </c:strRef>
          </c:cat>
          <c:val>
            <c:numRef>
              <c:f>'[2022-2023减灾中心电费对比表.xls]Sheet3'!#REF!</c:f>
              <c:numCache>
                <c:formatCode>General</c:formatCode>
                <c:ptCount val="1"/>
                <c:pt idx="0">
                  <c:v>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manualLayout>
          <c:xMode val="edge"/>
          <c:yMode val="edge"/>
          <c:x val="0.140137812230835"/>
          <c:y val="0.0368180596613813"/>
        </c:manualLayout>
      </c:layout>
      <c:overlay val="0"/>
      <c:spPr>
        <a:noFill/>
        <a:ln>
          <a:noFill/>
        </a:ln>
        <a:effectLst/>
      </c:spPr>
    </c:title>
    <c:autoTitleDeleted val="0"/>
    <c:plotArea>
      <c:layout/>
      <c:barChart>
        <c:barDir val="col"/>
        <c:grouping val="clustered"/>
        <c:varyColors val="0"/>
        <c:ser>
          <c:idx val="0"/>
          <c:order val="0"/>
          <c:tx>
            <c:strRef>
              <c:f>'[2022-2023减灾中心电费对比表.xls]Sheet3'!$A$4</c:f>
              <c:strCache>
                <c:ptCount val="1"/>
                <c:pt idx="0">
                  <c:v>财政拨款收入</c:v>
                </c:pt>
              </c:strCache>
            </c:strRef>
          </c:tx>
          <c:spPr>
            <a:solidFill>
              <a:schemeClr val="accent6">
                <a:lumMod val="75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'[2022-2023减灾中心电费对比表.xls]Sheet3'!$B$3:$C$3</c:f>
              <c:strCache>
                <c:ptCount val="2"/>
                <c:pt idx="0">
                  <c:v>2021年</c:v>
                </c:pt>
                <c:pt idx="1">
                  <c:v>2022年</c:v>
                </c:pt>
              </c:strCache>
            </c:strRef>
          </c:cat>
          <c:val>
            <c:numRef>
              <c:f>'[2022-2023减灾中心电费对比表.xls]Sheet3'!$B$4:$C$4</c:f>
              <c:numCache>
                <c:formatCode>General</c:formatCode>
                <c:ptCount val="2"/>
                <c:pt idx="0">
                  <c:v>152.72</c:v>
                </c:pt>
                <c:pt idx="1">
                  <c:v>199.15</c:v>
                </c:pt>
              </c:numCache>
            </c:numRef>
          </c:val>
        </c:ser>
        <c:ser>
          <c:idx val="1"/>
          <c:order val="1"/>
          <c:tx>
            <c:strRef>
              <c:f>'[2022-2023减灾中心电费对比表.xls]Sheet3'!$A$5</c:f>
              <c:strCache>
                <c:ptCount val="1"/>
                <c:pt idx="0">
                  <c:v>财政拨款支出</c:v>
                </c:pt>
              </c:strCache>
            </c:strRef>
          </c:tx>
          <c:spPr>
            <a:solidFill>
              <a:schemeClr val="accent4">
                <a:lumMod val="75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'[2022-2023减灾中心电费对比表.xls]Sheet3'!$B$3:$C$3</c:f>
              <c:strCache>
                <c:ptCount val="2"/>
                <c:pt idx="0">
                  <c:v>2021年</c:v>
                </c:pt>
                <c:pt idx="1">
                  <c:v>2022年</c:v>
                </c:pt>
              </c:strCache>
            </c:strRef>
          </c:cat>
          <c:val>
            <c:numRef>
              <c:f>'[2022-2023减灾中心电费对比表.xls]Sheet3'!$B$5:$C$5</c:f>
              <c:numCache>
                <c:formatCode>General</c:formatCode>
                <c:ptCount val="2"/>
                <c:pt idx="0">
                  <c:v>152.72</c:v>
                </c:pt>
                <c:pt idx="1">
                  <c:v>199.15</c:v>
                </c:pt>
              </c:numCache>
            </c:numRef>
          </c:val>
        </c:ser>
        <c:dLbls>
          <c:showLegendKey val="0"/>
          <c:showVal val="1"/>
          <c:showCatName val="0"/>
          <c:showSerName val="0"/>
          <c:showPercent val="0"/>
          <c:showBubbleSize val="0"/>
        </c:dLbls>
        <c:gapWidth val="150"/>
        <c:overlap val="-25"/>
        <c:axId val="77004800"/>
        <c:axId val="77006336"/>
      </c:barChart>
      <c:catAx>
        <c:axId val="7700480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006336"/>
        <c:crosses val="autoZero"/>
        <c:auto val="1"/>
        <c:lblAlgn val="ctr"/>
        <c:lblOffset val="100"/>
        <c:noMultiLvlLbl val="0"/>
      </c:catAx>
      <c:valAx>
        <c:axId val="77006336"/>
        <c:scaling>
          <c:orientation val="minMax"/>
        </c:scaling>
        <c:delete val="1"/>
        <c:axPos val="l"/>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7004800"/>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manualLayout>
          <c:layoutTarget val="inner"/>
          <c:xMode val="edge"/>
          <c:yMode val="edge"/>
          <c:x val="0.0353143841515935"/>
          <c:y val="0.416823434560602"/>
          <c:w val="0.924203273040482"/>
          <c:h val="0.453211502284332"/>
        </c:manualLayout>
      </c:layout>
      <c:barChart>
        <c:barDir val="col"/>
        <c:grouping val="clustered"/>
        <c:varyColors val="0"/>
        <c:ser>
          <c:idx val="0"/>
          <c:order val="0"/>
          <c:tx>
            <c:strRef>
              <c:f>'[2022-2023减灾中心电费对比表.xls]Sheet3'!$A$4</c:f>
              <c:strCache>
                <c:ptCount val="1"/>
                <c:pt idx="0">
                  <c:v>一般财政拨款支出</c:v>
                </c:pt>
              </c:strCache>
            </c:strRef>
          </c:tx>
          <c:spPr>
            <a:solidFill>
              <a:schemeClr val="accent3">
                <a:lumMod val="75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'[2022-2023减灾中心电费对比表.xls]Sheet3'!$B$3:$C$3</c:f>
              <c:strCache>
                <c:ptCount val="2"/>
                <c:pt idx="0">
                  <c:v>2021年</c:v>
                </c:pt>
                <c:pt idx="1">
                  <c:v>2022年</c:v>
                </c:pt>
              </c:strCache>
            </c:strRef>
          </c:cat>
          <c:val>
            <c:numRef>
              <c:f>'[2022-2023减灾中心电费对比表.xls]Sheet3'!$B$4:$C$4</c:f>
              <c:numCache>
                <c:formatCode>General</c:formatCode>
                <c:ptCount val="2"/>
                <c:pt idx="0">
                  <c:v>152.72</c:v>
                </c:pt>
                <c:pt idx="1">
                  <c:v>199.15</c:v>
                </c:pt>
              </c:numCache>
            </c:numRef>
          </c:val>
        </c:ser>
        <c:ser>
          <c:idx val="1"/>
          <c:order val="1"/>
          <c:tx>
            <c:strRef>
              <c:f>'[2022-2023减灾中心电费对比表.xls]Sheet3'!$A$5</c:f>
              <c:strCache>
                <c:ptCount val="1"/>
                <c:pt idx="0">
                  <c:v/>
                </c:pt>
              </c:strCache>
            </c:strRef>
          </c:tx>
          <c:spPr>
            <a:solidFill>
              <a:schemeClr val="accent4">
                <a:lumMod val="75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'[2022-2023减灾中心电费对比表.xls]Sheet3'!$B$3:$C$3</c:f>
              <c:strCache>
                <c:ptCount val="2"/>
                <c:pt idx="0">
                  <c:v>2021年</c:v>
                </c:pt>
                <c:pt idx="1">
                  <c:v>2022年</c:v>
                </c:pt>
              </c:strCache>
            </c:strRef>
          </c:cat>
          <c:val>
            <c:numRef>
              <c:f>'[2022-2023减灾中心电费对比表.xls]Sheet3'!$B$5:$C$5</c:f>
              <c:numCache>
                <c:formatCode>General</c:formatCode>
                <c:ptCount val="2"/>
              </c:numCache>
            </c:numRef>
          </c:val>
        </c:ser>
        <c:dLbls>
          <c:showLegendKey val="0"/>
          <c:showVal val="1"/>
          <c:showCatName val="0"/>
          <c:showSerName val="0"/>
          <c:showPercent val="0"/>
          <c:showBubbleSize val="0"/>
        </c:dLbls>
        <c:gapWidth val="150"/>
        <c:overlap val="-25"/>
        <c:axId val="77044352"/>
        <c:axId val="77058432"/>
      </c:barChart>
      <c:catAx>
        <c:axId val="7704435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058432"/>
        <c:crosses val="autoZero"/>
        <c:auto val="1"/>
        <c:lblAlgn val="ctr"/>
        <c:lblOffset val="100"/>
        <c:noMultiLvlLbl val="0"/>
      </c:catAx>
      <c:valAx>
        <c:axId val="77058432"/>
        <c:scaling>
          <c:orientation val="minMax"/>
        </c:scaling>
        <c:delete val="1"/>
        <c:axPos val="l"/>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7044352"/>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tx>
            <c:strRef>
              <c:f>'[2022-2023减灾中心电费对比表.xls]Sheet3'!$A$4</c:f>
              <c:strCache>
                <c:ptCount val="1"/>
                <c:pt idx="0">
                  <c:v>一般财政拨款支出</c:v>
                </c:pt>
              </c:strCache>
            </c:strRef>
          </c:tx>
          <c:spPr>
            <a:solidFill>
              <a:schemeClr val="accent4">
                <a:lumMod val="75000"/>
              </a:schemeClr>
            </a:solidFill>
          </c:spPr>
          <c:explosion val="0"/>
          <c:dPt>
            <c:idx val="0"/>
            <c:bubble3D val="0"/>
            <c:spPr>
              <a:solidFill>
                <a:schemeClr val="accent1">
                  <a:lumMod val="75000"/>
                </a:schemeClr>
              </a:solidFill>
              <a:ln>
                <a:noFill/>
              </a:ln>
              <a:effectLst/>
            </c:spPr>
          </c:dPt>
          <c:dPt>
            <c:idx val="1"/>
            <c:bubble3D val="0"/>
            <c:spPr>
              <a:solidFill>
                <a:schemeClr val="accent4">
                  <a:lumMod val="75000"/>
                </a:schemeClr>
              </a:solidFill>
              <a:ln>
                <a:noFill/>
              </a:ln>
              <a:effectLst/>
            </c:spPr>
          </c:dPt>
          <c:dPt>
            <c:idx val="2"/>
            <c:bubble3D val="0"/>
            <c:spPr>
              <a:solidFill>
                <a:schemeClr val="accent1"/>
              </a:solidFill>
              <a:ln>
                <a:noFill/>
              </a:ln>
              <a:effectLst/>
            </c:spPr>
          </c:dPt>
          <c:dPt>
            <c:idx val="3"/>
            <c:bubble3D val="0"/>
            <c:spPr>
              <a:solidFill>
                <a:schemeClr val="accent6"/>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'[2022-2023减灾中心电费对比表.xls]Sheet3'!$B$3:$E$3</c:f>
              <c:strCache>
                <c:ptCount val="4"/>
                <c:pt idx="0">
                  <c:v>社会保障和就业支出</c:v>
                </c:pt>
                <c:pt idx="1">
                  <c:v>卫生健康支出</c:v>
                </c:pt>
                <c:pt idx="2">
                  <c:v>住房保障支出</c:v>
                </c:pt>
                <c:pt idx="3">
                  <c:v>灾害防治及应急管理支出</c:v>
                </c:pt>
              </c:strCache>
            </c:strRef>
          </c:cat>
          <c:val>
            <c:numRef>
              <c:f>'[2022-2023减灾中心电费对比表.xls]Sheet3'!$B$4:$E$4</c:f>
              <c:numCache>
                <c:formatCode>General</c:formatCode>
                <c:ptCount val="4"/>
                <c:pt idx="0">
                  <c:v>9.18</c:v>
                </c:pt>
                <c:pt idx="1">
                  <c:v>6.18</c:v>
                </c:pt>
                <c:pt idx="2">
                  <c:v>11.66</c:v>
                </c:pt>
                <c:pt idx="3">
                  <c:v>172.13</c:v>
                </c:pt>
              </c:numCache>
            </c:numRef>
          </c:val>
        </c:ser>
        <c:ser>
          <c:idx val="1"/>
          <c:order val="1"/>
          <c:tx>
            <c:strRef>
              <c:f>'[2022-2023减灾中心电费对比表.xls]Sheet3'!$A$5</c:f>
              <c:strCache>
                <c:ptCount val="1"/>
                <c:pt idx="0">
                  <c:v/>
                </c:pt>
              </c:strCache>
            </c:strRef>
          </c:tx>
          <c:spPr>
            <a:solidFill>
              <a:schemeClr val="accent4">
                <a:lumMod val="75000"/>
              </a:schemeClr>
            </a:solidFill>
          </c:spPr>
          <c:explosion val="0"/>
          <c:dPt>
            <c:idx val="0"/>
            <c:bubble3D val="0"/>
            <c:spPr>
              <a:solidFill>
                <a:schemeClr val="accent4">
                  <a:lumMod val="75000"/>
                </a:schemeClr>
              </a:solidFill>
              <a:ln>
                <a:noFill/>
              </a:ln>
              <a:effectLst/>
            </c:spPr>
          </c:dPt>
          <c:dPt>
            <c:idx val="1"/>
            <c:bubble3D val="0"/>
            <c:spPr>
              <a:solidFill>
                <a:schemeClr val="accent4">
                  <a:lumMod val="75000"/>
                </a:schemeClr>
              </a:solidFill>
              <a:ln>
                <a:noFill/>
              </a:ln>
              <a:effectLst/>
            </c:spPr>
          </c:dPt>
          <c:dPt>
            <c:idx val="2"/>
            <c:bubble3D val="0"/>
            <c:spPr>
              <a:solidFill>
                <a:schemeClr val="accent4">
                  <a:lumMod val="75000"/>
                </a:schemeClr>
              </a:solidFill>
              <a:ln>
                <a:noFill/>
              </a:ln>
              <a:effectLst/>
            </c:spPr>
          </c:dPt>
          <c:dPt>
            <c:idx val="3"/>
            <c:bubble3D val="0"/>
            <c:spPr>
              <a:solidFill>
                <a:schemeClr val="accent4">
                  <a:lumMod val="75000"/>
                </a:schemeClr>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'[2022-2023减灾中心电费对比表.xls]Sheet3'!$B$3:$E$3</c:f>
              <c:strCache>
                <c:ptCount val="4"/>
                <c:pt idx="0">
                  <c:v>社会保障和就业支出</c:v>
                </c:pt>
                <c:pt idx="1">
                  <c:v>卫生健康支出</c:v>
                </c:pt>
                <c:pt idx="2">
                  <c:v>住房保障支出</c:v>
                </c:pt>
                <c:pt idx="3">
                  <c:v>灾害防治及应急管理支出</c:v>
                </c:pt>
              </c:strCache>
            </c:strRef>
          </c:cat>
          <c:val>
            <c:numRef>
              <c:f>'[2022-2023减灾中心电费对比表.xls]Sheet3'!$B$5:$E$5</c:f>
              <c:numCache>
                <c:formatCode>General</c:formatCode>
                <c:ptCount val="4"/>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layout>
        <c:manualLayout>
          <c:xMode val="edge"/>
          <c:yMode val="edge"/>
          <c:x val="0.104478897502153"/>
          <c:y val="0.028218220908358"/>
        </c:manualLayout>
      </c:layout>
      <c:overlay val="0"/>
      <c:spPr>
        <a:noFill/>
        <a:ln>
          <a:noFill/>
        </a:ln>
        <a:effectLst/>
      </c:spPr>
    </c:title>
    <c:autoTitleDeleted val="0"/>
    <c:plotArea>
      <c:layout/>
      <c:pieChart>
        <c:varyColors val="1"/>
        <c:ser>
          <c:idx val="0"/>
          <c:order val="0"/>
          <c:tx>
            <c:strRef>
              <c:f>'[2022-2023减灾中心电费对比表.xls]Sheet3'!$A$4</c:f>
              <c:strCache>
                <c:ptCount val="1"/>
                <c:pt idx="0">
                  <c:v/>
                </c:pt>
              </c:strCache>
            </c:strRef>
          </c:tx>
          <c:spPr>
            <a:solidFill>
              <a:schemeClr val="accent4">
                <a:lumMod val="75000"/>
              </a:schemeClr>
            </a:solidFill>
          </c:spPr>
          <c:explosion val="0"/>
          <c:dPt>
            <c:idx val="0"/>
            <c:bubble3D val="0"/>
            <c:spPr>
              <a:solidFill>
                <a:schemeClr val="accent6">
                  <a:lumMod val="75000"/>
                </a:schemeClr>
              </a:solidFill>
              <a:ln>
                <a:noFill/>
              </a:ln>
              <a:effectLst/>
            </c:spPr>
          </c:dPt>
          <c:dPt>
            <c:idx val="1"/>
            <c:bubble3D val="0"/>
            <c:spPr>
              <a:solidFill>
                <a:schemeClr val="accent2"/>
              </a:solidFill>
              <a:ln>
                <a:noFill/>
              </a:ln>
              <a:effectLst/>
            </c:spPr>
          </c:dPt>
          <c:dPt>
            <c:idx val="2"/>
            <c:bubble3D val="0"/>
            <c:spPr>
              <a:solidFill>
                <a:schemeClr val="accent4">
                  <a:lumMod val="60000"/>
                  <a:lumOff val="40000"/>
                </a:schemeClr>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'[2022-2023减灾中心电费对比表.xls]Sheet3'!$B$3:$D$3</c:f>
              <c:strCache>
                <c:ptCount val="3"/>
                <c:pt idx="0">
                  <c:v>因公出国（境）费支出决算</c:v>
                </c:pt>
                <c:pt idx="1">
                  <c:v>公务用车购置及运行维护费支出决算</c:v>
                </c:pt>
                <c:pt idx="2">
                  <c:v>公务接待费支出决算</c:v>
                </c:pt>
              </c:strCache>
            </c:strRef>
          </c:cat>
          <c:val>
            <c:numRef>
              <c:f>'[2022-2023减灾中心电费对比表.xls]Sheet3'!$B$4:$D$4</c:f>
              <c:numCache>
                <c:formatCode>General</c:formatCode>
                <c:ptCount val="3"/>
                <c:pt idx="0">
                  <c:v>0</c:v>
                </c:pt>
                <c:pt idx="1">
                  <c:v>6.95</c:v>
                </c:pt>
                <c:pt idx="2">
                  <c:v>0</c:v>
                </c:pt>
              </c:numCache>
            </c:numRef>
          </c:val>
        </c:ser>
        <c:ser>
          <c:idx val="1"/>
          <c:order val="1"/>
          <c:tx>
            <c:strRef>
              <c:f>'[2022-2023减灾中心电费对比表.xls]Sheet3'!$A$5</c:f>
              <c:strCache>
                <c:ptCount val="1"/>
                <c:pt idx="0">
                  <c:v/>
                </c:pt>
              </c:strCache>
            </c:strRef>
          </c:tx>
          <c:spPr>
            <a:solidFill>
              <a:schemeClr val="accent4">
                <a:lumMod val="75000"/>
              </a:schemeClr>
            </a:solidFill>
          </c:spPr>
          <c:explosion val="0"/>
          <c:dPt>
            <c:idx val="0"/>
            <c:bubble3D val="0"/>
            <c:spPr>
              <a:solidFill>
                <a:schemeClr val="accent4">
                  <a:lumMod val="75000"/>
                </a:schemeClr>
              </a:solidFill>
              <a:ln>
                <a:noFill/>
              </a:ln>
              <a:effectLst/>
            </c:spPr>
          </c:dPt>
          <c:dPt>
            <c:idx val="1"/>
            <c:bubble3D val="0"/>
            <c:spPr>
              <a:solidFill>
                <a:schemeClr val="accent4">
                  <a:lumMod val="75000"/>
                </a:schemeClr>
              </a:solidFill>
              <a:ln>
                <a:noFill/>
              </a:ln>
              <a:effectLst/>
            </c:spPr>
          </c:dPt>
          <c:dPt>
            <c:idx val="2"/>
            <c:bubble3D val="0"/>
            <c:spPr>
              <a:solidFill>
                <a:schemeClr val="accent4">
                  <a:lumMod val="75000"/>
                </a:schemeClr>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'[2022-2023减灾中心电费对比表.xls]Sheet3'!$B$3:$D$3</c:f>
              <c:strCache>
                <c:ptCount val="3"/>
                <c:pt idx="0">
                  <c:v>因公出国（境）费支出决算</c:v>
                </c:pt>
                <c:pt idx="1">
                  <c:v>公务用车购置及运行维护费支出决算</c:v>
                </c:pt>
                <c:pt idx="2">
                  <c:v>公务接待费支出决算</c:v>
                </c:pt>
              </c:strCache>
            </c:strRef>
          </c:cat>
          <c:val>
            <c:numRef>
              <c:f>'[2022-2023减灾中心电费对比表.xls]Sheet3'!$B$5:$D$5</c:f>
              <c:numCache>
                <c:formatCode>General</c:formatCode>
                <c:ptCount val="3"/>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49612403100775"/>
          <c:y val="0.34291857027680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25</Pages>
  <Words>7599</Words>
  <Characters>8696</Characters>
  <Lines>78</Lines>
  <Paragraphs>21</Paragraphs>
  <TotalTime>2</TotalTime>
  <ScaleCrop>false</ScaleCrop>
  <LinksUpToDate>false</LinksUpToDate>
  <CharactersWithSpaces>8867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2023-08-24T07:53:00Z</dcterms:created>
  <dc:creator>曹颖</dc:creator>
  <cp:lastModifiedBy>86152</cp:lastModifiedBy>
  <cp:lastPrinted>2023-07-31T10:35:00Z</cp:lastPrinted>
  <dcterms:modified xsi:type="dcterms:W3CDTF">2023-09-18T09:22:39Z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C72AD294FBB74C39AFEBE923E27A2FD7_12</vt:lpwstr>
  </property>
</Properties>
</file>