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utoSpaceDN w:val="0"/>
        <w:spacing w:line="576" w:lineRule="exact"/>
        <w:jc w:val="center"/>
        <w:rPr>
          <w:rFonts w:hint="eastAsia" w:ascii="方正小标宋简体" w:hAnsi="方正小标宋简体" w:eastAsia="方正小标宋简体" w:cs="方正小标宋简体"/>
          <w:color w:val="000000"/>
          <w:kern w:val="0"/>
          <w:sz w:val="44"/>
          <w:szCs w:val="44"/>
          <w:shd w:val="clear" w:color="auto" w:fill="FFFFFF"/>
        </w:rPr>
      </w:pPr>
      <w:r>
        <w:rPr>
          <w:rFonts w:hint="eastAsia" w:ascii="方正小标宋简体" w:hAnsi="方正小标宋简体" w:eastAsia="方正小标宋简体" w:cs="方正小标宋简体"/>
          <w:color w:val="000000"/>
          <w:kern w:val="0"/>
          <w:sz w:val="44"/>
          <w:szCs w:val="44"/>
          <w:shd w:val="clear" w:color="auto" w:fill="FFFFFF"/>
        </w:rPr>
        <w:t>遂宁市安全生产举报奖励办法</w:t>
      </w:r>
    </w:p>
    <w:p>
      <w:pPr>
        <w:shd w:val="clear" w:color="auto" w:fill="FFFFFF"/>
        <w:autoSpaceDN w:val="0"/>
        <w:spacing w:line="576" w:lineRule="exact"/>
        <w:jc w:val="center"/>
        <w:rPr>
          <w:rFonts w:hint="eastAsia" w:ascii="楷体_GB2312" w:hAnsi="方正小标宋简体" w:eastAsia="楷体_GB2312" w:cs="方正小标宋简体"/>
          <w:color w:val="000000"/>
          <w:kern w:val="0"/>
          <w:sz w:val="32"/>
          <w:szCs w:val="32"/>
          <w:shd w:val="clear" w:color="auto" w:fill="FFFFFF"/>
        </w:rPr>
      </w:pPr>
      <w:r>
        <w:rPr>
          <w:rFonts w:hint="eastAsia" w:ascii="楷体_GB2312" w:hAnsi="方正小标宋简体" w:eastAsia="楷体_GB2312" w:cs="方正小标宋简体"/>
          <w:color w:val="000000"/>
          <w:kern w:val="0"/>
          <w:sz w:val="32"/>
          <w:szCs w:val="32"/>
          <w:shd w:val="clear" w:color="auto" w:fill="FFFFFF"/>
        </w:rPr>
        <w:t>（</w:t>
      </w:r>
      <w:r>
        <w:rPr>
          <w:rFonts w:hint="eastAsia" w:ascii="楷体_GB2312" w:hAnsi="方正小标宋简体" w:eastAsia="楷体_GB2312" w:cs="方正小标宋简体"/>
          <w:color w:val="000000"/>
          <w:kern w:val="0"/>
          <w:sz w:val="32"/>
          <w:szCs w:val="32"/>
          <w:shd w:val="clear" w:color="auto" w:fill="FFFFFF"/>
          <w:lang w:eastAsia="zh-CN"/>
        </w:rPr>
        <w:t>征求意见</w:t>
      </w:r>
      <w:r>
        <w:rPr>
          <w:rFonts w:hint="eastAsia" w:ascii="楷体_GB2312" w:hAnsi="方正小标宋简体" w:eastAsia="楷体_GB2312" w:cs="方正小标宋简体"/>
          <w:color w:val="000000"/>
          <w:kern w:val="0"/>
          <w:sz w:val="32"/>
          <w:szCs w:val="32"/>
          <w:shd w:val="clear" w:color="auto" w:fill="FFFFFF"/>
        </w:rPr>
        <w:t>）</w:t>
      </w:r>
    </w:p>
    <w:p>
      <w:pPr>
        <w:shd w:val="clear" w:color="auto" w:fill="FFFFFF"/>
        <w:autoSpaceDN w:val="0"/>
        <w:spacing w:line="576" w:lineRule="exact"/>
        <w:rPr>
          <w:rFonts w:ascii="仿宋_GB2312" w:hAnsi="仿宋_GB2312" w:cs="仿宋_GB2312"/>
          <w:b/>
          <w:kern w:val="0"/>
          <w:sz w:val="32"/>
          <w:szCs w:val="32"/>
          <w:shd w:val="clear" w:color="auto" w:fill="FFFFFF"/>
        </w:rPr>
      </w:pPr>
    </w:p>
    <w:p>
      <w:pPr>
        <w:shd w:val="clear" w:color="auto" w:fill="FFFFFF"/>
        <w:autoSpaceDN w:val="0"/>
        <w:spacing w:line="576" w:lineRule="exact"/>
        <w:jc w:val="center"/>
        <w:rPr>
          <w:rFonts w:ascii="黑体" w:hAnsi="黑体" w:eastAsia="黑体" w:cs="仿宋_GB2312"/>
          <w:kern w:val="0"/>
          <w:sz w:val="32"/>
          <w:szCs w:val="32"/>
          <w:shd w:val="clear" w:color="auto" w:fill="FFFFFF"/>
          <w:lang w:eastAsia="zh-Hans"/>
        </w:rPr>
      </w:pPr>
      <w:r>
        <w:rPr>
          <w:rFonts w:hint="eastAsia" w:ascii="黑体" w:hAnsi="黑体" w:eastAsia="黑体" w:cs="仿宋_GB2312"/>
          <w:kern w:val="0"/>
          <w:sz w:val="32"/>
          <w:szCs w:val="32"/>
          <w:shd w:val="clear" w:color="auto" w:fill="FFFFFF"/>
        </w:rPr>
        <w:t>第</w:t>
      </w:r>
      <w:r>
        <w:rPr>
          <w:rFonts w:hint="eastAsia" w:ascii="黑体" w:hAnsi="黑体" w:eastAsia="黑体" w:cs="仿宋_GB2312"/>
          <w:kern w:val="0"/>
          <w:sz w:val="32"/>
          <w:szCs w:val="32"/>
          <w:shd w:val="clear" w:color="auto" w:fill="FFFFFF"/>
          <w:lang w:eastAsia="zh-Hans"/>
        </w:rPr>
        <w:t>一</w:t>
      </w:r>
      <w:r>
        <w:rPr>
          <w:rFonts w:hint="eastAsia" w:ascii="黑体" w:hAnsi="黑体" w:eastAsia="黑体" w:cs="仿宋_GB2312"/>
          <w:kern w:val="0"/>
          <w:sz w:val="32"/>
          <w:szCs w:val="32"/>
          <w:shd w:val="clear" w:color="auto" w:fill="FFFFFF"/>
        </w:rPr>
        <w:t>章</w:t>
      </w:r>
      <w:r>
        <w:rPr>
          <w:rFonts w:ascii="黑体" w:hAnsi="黑体" w:eastAsia="黑体" w:cs="Calibri"/>
          <w:kern w:val="0"/>
          <w:sz w:val="32"/>
          <w:szCs w:val="32"/>
          <w:shd w:val="clear" w:color="auto" w:fill="FFFFFF"/>
        </w:rPr>
        <w:t xml:space="preserve">  </w:t>
      </w:r>
      <w:r>
        <w:rPr>
          <w:rFonts w:hint="eastAsia" w:ascii="黑体" w:hAnsi="黑体" w:eastAsia="黑体" w:cs="仿宋_GB2312"/>
          <w:kern w:val="0"/>
          <w:sz w:val="32"/>
          <w:szCs w:val="32"/>
          <w:shd w:val="clear" w:color="auto" w:fill="FFFFFF"/>
          <w:lang w:eastAsia="zh-Hans"/>
        </w:rPr>
        <w:t>总则</w:t>
      </w:r>
    </w:p>
    <w:p>
      <w:pPr>
        <w:shd w:val="clear" w:color="auto" w:fill="FFFFFF"/>
        <w:autoSpaceDN w:val="0"/>
        <w:spacing w:line="576" w:lineRule="exact"/>
        <w:ind w:firstLine="640" w:firstLineChars="200"/>
        <w:rPr>
          <w:kern w:val="0"/>
          <w:sz w:val="32"/>
          <w:szCs w:val="32"/>
          <w:shd w:val="clear" w:color="auto" w:fill="FFFFFF"/>
        </w:rPr>
      </w:pPr>
      <w:r>
        <w:rPr>
          <w:rFonts w:ascii="黑体" w:hAnsi="黑体" w:eastAsia="黑体"/>
          <w:color w:val="000000"/>
          <w:kern w:val="0"/>
          <w:sz w:val="32"/>
          <w:szCs w:val="32"/>
          <w:shd w:val="clear" w:color="auto" w:fill="FFFFFF"/>
        </w:rPr>
        <w:t>第一条</w:t>
      </w:r>
      <w:r>
        <w:rPr>
          <w:color w:val="000000"/>
          <w:kern w:val="0"/>
          <w:sz w:val="32"/>
          <w:szCs w:val="32"/>
          <w:shd w:val="clear" w:color="auto" w:fill="FFFFFF"/>
        </w:rPr>
        <w:t xml:space="preserve">  为进一步加强安全生产工作的社会监督，鼓励举报重大生产安全事故隐患和安全生产违法行为，及时发现并排除事故隐患，制止和惩处安全生产违法行为，依据《中华人民共和国安全生产法》、《中共中央国务院关于推进安全生产领域改革发展的意见》（中发</w:t>
      </w:r>
      <w:r>
        <w:rPr>
          <w:rFonts w:hint="eastAsia"/>
          <w:color w:val="000000"/>
          <w:kern w:val="0"/>
          <w:sz w:val="32"/>
          <w:szCs w:val="32"/>
          <w:shd w:val="clear" w:color="auto" w:fill="FFFFFF"/>
        </w:rPr>
        <w:t>〔</w:t>
      </w:r>
      <w:r>
        <w:rPr>
          <w:color w:val="000000"/>
          <w:kern w:val="0"/>
          <w:sz w:val="32"/>
          <w:szCs w:val="32"/>
          <w:shd w:val="clear" w:color="auto" w:fill="FFFFFF"/>
        </w:rPr>
        <w:t>2016</w:t>
      </w:r>
      <w:r>
        <w:rPr>
          <w:rFonts w:hint="eastAsia"/>
          <w:color w:val="000000"/>
          <w:kern w:val="0"/>
          <w:sz w:val="32"/>
          <w:szCs w:val="32"/>
          <w:shd w:val="clear" w:color="auto" w:fill="FFFFFF"/>
        </w:rPr>
        <w:t>〕</w:t>
      </w:r>
      <w:r>
        <w:rPr>
          <w:color w:val="000000"/>
          <w:kern w:val="0"/>
          <w:sz w:val="32"/>
          <w:szCs w:val="32"/>
          <w:shd w:val="clear" w:color="auto" w:fill="FFFFFF"/>
        </w:rPr>
        <w:t>32号）、《国家安全监管总局 财政部关于印发〈安全生产领域举报奖励办法〉的通知》（安监总财〔2018〕19号）、《四川省安全生产</w:t>
      </w:r>
      <w:r>
        <w:rPr>
          <w:kern w:val="0"/>
          <w:sz w:val="32"/>
          <w:szCs w:val="32"/>
          <w:shd w:val="clear" w:color="auto" w:fill="FFFFFF"/>
        </w:rPr>
        <w:t>条例》和《四川省安全生产举报奖励办法》（川安委〔2021〕13号）等有关法律法规和文件要求，结合我市实际，制定本办法。</w:t>
      </w:r>
    </w:p>
    <w:p>
      <w:pPr>
        <w:shd w:val="clear" w:color="auto" w:fill="FFFFFF"/>
        <w:autoSpaceDN w:val="0"/>
        <w:spacing w:line="576" w:lineRule="exact"/>
        <w:ind w:firstLine="640" w:firstLineChars="200"/>
        <w:rPr>
          <w:kern w:val="0"/>
          <w:sz w:val="32"/>
          <w:szCs w:val="32"/>
          <w:shd w:val="clear" w:color="auto" w:fill="FFFFFF"/>
        </w:rPr>
      </w:pPr>
      <w:r>
        <w:rPr>
          <w:rFonts w:hint="eastAsia" w:ascii="黑体" w:hAnsi="黑体" w:eastAsia="黑体"/>
          <w:color w:val="000000"/>
          <w:kern w:val="0"/>
          <w:sz w:val="32"/>
          <w:szCs w:val="32"/>
          <w:shd w:val="clear" w:color="auto" w:fill="FFFFFF"/>
        </w:rPr>
        <w:t>第二条</w:t>
      </w:r>
      <w:r>
        <w:rPr>
          <w:rFonts w:hint="eastAsia"/>
          <w:kern w:val="0"/>
          <w:sz w:val="32"/>
          <w:szCs w:val="32"/>
          <w:shd w:val="clear" w:color="auto" w:fill="FFFFFF"/>
        </w:rPr>
        <w:t xml:space="preserve">  </w:t>
      </w:r>
      <w:r>
        <w:rPr>
          <w:kern w:val="0"/>
          <w:sz w:val="32"/>
          <w:szCs w:val="32"/>
          <w:shd w:val="clear" w:color="auto" w:fill="FFFFFF"/>
        </w:rPr>
        <w:t>本办法适用于遂宁市行政区域内所有重大安全生产事故隐患和安全生产违法行为的举报、核查和奖励事项。</w:t>
      </w:r>
    </w:p>
    <w:p>
      <w:pPr>
        <w:shd w:val="clear" w:color="auto" w:fill="FFFFFF"/>
        <w:autoSpaceDN w:val="0"/>
        <w:spacing w:line="576" w:lineRule="exact"/>
        <w:ind w:firstLine="640" w:firstLineChars="200"/>
        <w:rPr>
          <w:kern w:val="0"/>
          <w:sz w:val="32"/>
          <w:szCs w:val="32"/>
          <w:shd w:val="clear" w:color="auto" w:fill="FFFFFF"/>
        </w:rPr>
      </w:pPr>
      <w:r>
        <w:rPr>
          <w:kern w:val="0"/>
          <w:sz w:val="32"/>
          <w:szCs w:val="32"/>
          <w:shd w:val="clear" w:color="auto" w:fill="FFFFFF"/>
        </w:rPr>
        <w:t>负有安全生产监督管理职责的部门对所监管行业领域的安全生产举报另有规定的，依照其规定。</w:t>
      </w:r>
    </w:p>
    <w:p>
      <w:pPr>
        <w:shd w:val="clear" w:color="auto" w:fill="FFFFFF"/>
        <w:autoSpaceDN w:val="0"/>
        <w:spacing w:line="576" w:lineRule="exact"/>
        <w:ind w:firstLine="640" w:firstLineChars="200"/>
        <w:rPr>
          <w:kern w:val="0"/>
          <w:sz w:val="32"/>
          <w:szCs w:val="32"/>
          <w:shd w:val="clear" w:color="auto" w:fill="FFFFFF"/>
        </w:rPr>
      </w:pPr>
      <w:r>
        <w:rPr>
          <w:rFonts w:ascii="黑体" w:hAnsi="黑体" w:eastAsia="黑体"/>
          <w:color w:val="000000"/>
          <w:kern w:val="0"/>
          <w:sz w:val="32"/>
          <w:szCs w:val="32"/>
          <w:shd w:val="clear" w:color="auto" w:fill="FFFFFF"/>
        </w:rPr>
        <w:t>第三条</w:t>
      </w:r>
      <w:r>
        <w:rPr>
          <w:kern w:val="0"/>
          <w:sz w:val="32"/>
          <w:szCs w:val="32"/>
          <w:shd w:val="clear" w:color="auto" w:fill="FFFFFF"/>
        </w:rPr>
        <w:t xml:space="preserve">  任何单位、组织和个人（以下统称“举报人”）有权向县级以上应急管理部门和其他负有安全生产监督管理职责的部门（以下统称“负有安全生产监督管理职责的部门”）举报遂宁市行政区域内重大生产安全事故隐患和安全生产违法行为，经查证属实的，依照规定对举报人给予奖励。</w:t>
      </w:r>
    </w:p>
    <w:p>
      <w:pPr>
        <w:shd w:val="clear" w:color="auto" w:fill="FFFFFF"/>
        <w:autoSpaceDN w:val="0"/>
        <w:spacing w:line="576" w:lineRule="exact"/>
        <w:ind w:firstLine="640" w:firstLineChars="200"/>
        <w:rPr>
          <w:kern w:val="0"/>
          <w:sz w:val="32"/>
          <w:szCs w:val="32"/>
          <w:shd w:val="clear" w:color="auto" w:fill="FFFFFF"/>
        </w:rPr>
      </w:pPr>
      <w:r>
        <w:rPr>
          <w:rFonts w:ascii="黑体" w:hAnsi="黑体" w:eastAsia="黑体"/>
          <w:color w:val="000000"/>
          <w:kern w:val="0"/>
          <w:sz w:val="32"/>
          <w:szCs w:val="32"/>
          <w:shd w:val="clear" w:color="auto" w:fill="FFFFFF"/>
        </w:rPr>
        <w:t>第四条</w:t>
      </w:r>
      <w:r>
        <w:rPr>
          <w:kern w:val="0"/>
          <w:sz w:val="32"/>
          <w:szCs w:val="32"/>
          <w:shd w:val="clear" w:color="auto" w:fill="FFFFFF"/>
        </w:rPr>
        <w:t xml:space="preserve">  负有安全生产监督管理职责的部门开展举报奖励工作，应遵循“合法举报、适当奖励、属地管理、分级负责”和“谁受理、谁奖励”的原则。</w:t>
      </w:r>
    </w:p>
    <w:p>
      <w:pPr>
        <w:shd w:val="clear" w:color="auto" w:fill="FFFFFF"/>
        <w:autoSpaceDN w:val="0"/>
        <w:spacing w:line="576" w:lineRule="exact"/>
        <w:ind w:firstLine="640" w:firstLineChars="200"/>
        <w:rPr>
          <w:kern w:val="0"/>
          <w:sz w:val="32"/>
          <w:szCs w:val="32"/>
          <w:shd w:val="clear" w:color="auto" w:fill="FFFFFF"/>
        </w:rPr>
      </w:pPr>
      <w:r>
        <w:rPr>
          <w:kern w:val="0"/>
          <w:sz w:val="32"/>
          <w:szCs w:val="32"/>
          <w:shd w:val="clear" w:color="auto" w:fill="FFFFFF"/>
        </w:rPr>
        <w:t>对重大事故隐患和安全生产违法行为的举报，按属地管理原则实行逐级举报。县</w:t>
      </w:r>
      <w:r>
        <w:rPr>
          <w:rFonts w:hint="eastAsia"/>
          <w:kern w:val="0"/>
          <w:sz w:val="32"/>
          <w:szCs w:val="32"/>
          <w:shd w:val="clear" w:color="auto" w:fill="FFFFFF"/>
        </w:rPr>
        <w:t>（</w:t>
      </w:r>
      <w:r>
        <w:rPr>
          <w:kern w:val="0"/>
          <w:sz w:val="32"/>
          <w:szCs w:val="32"/>
          <w:shd w:val="clear" w:color="auto" w:fill="FFFFFF"/>
        </w:rPr>
        <w:t>市、区</w:t>
      </w:r>
      <w:r>
        <w:rPr>
          <w:rFonts w:hint="eastAsia"/>
          <w:kern w:val="0"/>
          <w:sz w:val="32"/>
          <w:szCs w:val="32"/>
          <w:shd w:val="clear" w:color="auto" w:fill="FFFFFF"/>
        </w:rPr>
        <w:t>）</w:t>
      </w:r>
      <w:r>
        <w:rPr>
          <w:kern w:val="0"/>
          <w:sz w:val="32"/>
          <w:szCs w:val="32"/>
          <w:shd w:val="clear" w:color="auto" w:fill="FFFFFF"/>
        </w:rPr>
        <w:t>、市直园区有关部门无法受理或者未及时处理的，举报人可以向市级有关部门举报。</w:t>
      </w:r>
    </w:p>
    <w:p>
      <w:pPr>
        <w:shd w:val="clear" w:color="auto" w:fill="FFFFFF"/>
        <w:autoSpaceDN w:val="0"/>
        <w:spacing w:line="576" w:lineRule="exact"/>
        <w:ind w:firstLine="640" w:firstLineChars="200"/>
        <w:rPr>
          <w:kern w:val="0"/>
          <w:sz w:val="32"/>
          <w:szCs w:val="32"/>
          <w:shd w:val="clear" w:color="auto" w:fill="FFFFFF"/>
        </w:rPr>
      </w:pPr>
      <w:r>
        <w:rPr>
          <w:rFonts w:ascii="黑体" w:hAnsi="黑体" w:eastAsia="黑体"/>
          <w:color w:val="000000"/>
          <w:kern w:val="0"/>
          <w:sz w:val="32"/>
          <w:szCs w:val="32"/>
          <w:shd w:val="clear" w:color="auto" w:fill="FFFFFF"/>
        </w:rPr>
        <w:t>第五条</w:t>
      </w:r>
      <w:r>
        <w:rPr>
          <w:kern w:val="0"/>
          <w:sz w:val="32"/>
          <w:szCs w:val="32"/>
          <w:shd w:val="clear" w:color="auto" w:fill="FFFFFF"/>
        </w:rPr>
        <w:t xml:space="preserve">  举报奖励资金由实施行政处罚机关的同级财政承担，市、县（区）政府和市直园区管委会分别列入同级财政预算。</w:t>
      </w:r>
    </w:p>
    <w:p>
      <w:pPr>
        <w:shd w:val="clear" w:color="auto" w:fill="FFFFFF"/>
        <w:autoSpaceDN w:val="0"/>
        <w:spacing w:line="576" w:lineRule="exact"/>
        <w:rPr>
          <w:color w:val="000000"/>
          <w:kern w:val="0"/>
          <w:sz w:val="32"/>
          <w:szCs w:val="32"/>
          <w:shd w:val="clear" w:color="auto" w:fill="FFFFFF"/>
          <w:lang w:val="en"/>
        </w:rPr>
      </w:pPr>
      <w:r>
        <w:rPr>
          <w:color w:val="000000"/>
          <w:kern w:val="0"/>
          <w:sz w:val="32"/>
          <w:szCs w:val="32"/>
          <w:shd w:val="clear" w:color="auto" w:fill="FFFFFF"/>
        </w:rPr>
        <w:t>负有安全监管职责的部门应当建立举报制度，公开举报电话、信箱或者电子邮件地址等网络举报平台，受理有关安全生产举报，兑现安全生产举报奖励</w:t>
      </w:r>
      <w:r>
        <w:rPr>
          <w:color w:val="000000"/>
          <w:kern w:val="0"/>
          <w:sz w:val="32"/>
          <w:szCs w:val="32"/>
          <w:shd w:val="clear" w:color="auto" w:fill="FFFFFF"/>
          <w:lang w:val="en"/>
        </w:rPr>
        <w:t>。</w:t>
      </w:r>
    </w:p>
    <w:p>
      <w:pPr>
        <w:shd w:val="clear" w:color="auto" w:fill="FFFFFF"/>
        <w:autoSpaceDN w:val="0"/>
        <w:spacing w:line="576" w:lineRule="exact"/>
        <w:rPr>
          <w:rFonts w:hint="eastAsia"/>
          <w:kern w:val="0"/>
          <w:sz w:val="32"/>
          <w:szCs w:val="32"/>
          <w:lang w:val="en"/>
        </w:rPr>
      </w:pPr>
    </w:p>
    <w:p>
      <w:pPr>
        <w:shd w:val="clear" w:color="auto" w:fill="FFFFFF"/>
        <w:autoSpaceDN w:val="0"/>
        <w:spacing w:line="576" w:lineRule="exact"/>
        <w:jc w:val="center"/>
        <w:rPr>
          <w:rFonts w:ascii="黑体" w:hAnsi="黑体" w:eastAsia="黑体"/>
          <w:kern w:val="0"/>
          <w:sz w:val="32"/>
          <w:szCs w:val="32"/>
        </w:rPr>
      </w:pPr>
      <w:r>
        <w:rPr>
          <w:rFonts w:ascii="黑体" w:hAnsi="黑体" w:eastAsia="黑体"/>
          <w:kern w:val="0"/>
          <w:sz w:val="32"/>
          <w:szCs w:val="32"/>
          <w:shd w:val="clear" w:color="auto" w:fill="FFFFFF"/>
        </w:rPr>
        <w:t>第二章</w:t>
      </w:r>
      <w:r>
        <w:rPr>
          <w:rFonts w:ascii="Calibri" w:hAnsi="Calibri" w:eastAsia="黑体" w:cs="Calibri"/>
          <w:kern w:val="0"/>
          <w:sz w:val="32"/>
          <w:szCs w:val="32"/>
          <w:shd w:val="clear" w:color="auto" w:fill="FFFFFF"/>
        </w:rPr>
        <w:t xml:space="preserve">  </w:t>
      </w:r>
      <w:r>
        <w:rPr>
          <w:rFonts w:ascii="黑体" w:hAnsi="黑体" w:eastAsia="黑体"/>
          <w:kern w:val="0"/>
          <w:sz w:val="32"/>
          <w:szCs w:val="32"/>
          <w:shd w:val="clear" w:color="auto" w:fill="FFFFFF"/>
        </w:rPr>
        <w:t>判定及奖励标准</w:t>
      </w:r>
    </w:p>
    <w:p>
      <w:pPr>
        <w:shd w:val="clear" w:color="auto" w:fill="FFFFFF"/>
        <w:autoSpaceDN w:val="0"/>
        <w:spacing w:line="576" w:lineRule="exact"/>
        <w:ind w:firstLine="640" w:firstLineChars="200"/>
        <w:rPr>
          <w:kern w:val="0"/>
          <w:sz w:val="32"/>
          <w:szCs w:val="32"/>
        </w:rPr>
      </w:pPr>
      <w:r>
        <w:rPr>
          <w:rFonts w:ascii="黑体" w:hAnsi="黑体" w:eastAsia="黑体"/>
          <w:color w:val="000000"/>
          <w:kern w:val="0"/>
          <w:sz w:val="32"/>
          <w:szCs w:val="32"/>
          <w:shd w:val="clear" w:color="auto" w:fill="FFFFFF"/>
        </w:rPr>
        <w:t>第六条</w:t>
      </w:r>
      <w:r>
        <w:rPr>
          <w:kern w:val="0"/>
          <w:sz w:val="32"/>
          <w:szCs w:val="32"/>
          <w:shd w:val="clear" w:color="auto" w:fill="FFFFFF"/>
        </w:rPr>
        <w:t xml:space="preserve">  本办法所称重大生产安全事故隐患，是指危害和整改难度较大，应当全部或局部停产停业，并经过一定时间整改治理方能排除的隐患，或因外部因素影响致使生产经营单位自身难以排除的隐患。</w:t>
      </w:r>
    </w:p>
    <w:p>
      <w:pPr>
        <w:shd w:val="clear" w:color="auto" w:fill="FFFFFF"/>
        <w:autoSpaceDN w:val="0"/>
        <w:spacing w:line="576" w:lineRule="exact"/>
        <w:ind w:firstLine="640" w:firstLineChars="200"/>
        <w:rPr>
          <w:kern w:val="0"/>
          <w:sz w:val="32"/>
          <w:szCs w:val="32"/>
          <w:shd w:val="clear" w:color="auto" w:fill="FFFFFF"/>
        </w:rPr>
      </w:pPr>
      <w:r>
        <w:rPr>
          <w:kern w:val="0"/>
          <w:sz w:val="32"/>
          <w:szCs w:val="32"/>
          <w:shd w:val="clear" w:color="auto" w:fill="FFFFFF"/>
        </w:rPr>
        <w:t>工贸行业重大事故隐患的判定，按照《工贸行业重大事故隐患判定标准》</w:t>
      </w:r>
      <w:r>
        <w:rPr>
          <w:rFonts w:hint="eastAsia"/>
          <w:kern w:val="0"/>
          <w:sz w:val="32"/>
          <w:szCs w:val="32"/>
          <w:shd w:val="clear" w:color="auto" w:fill="FFFFFF"/>
        </w:rPr>
        <w:t>（</w:t>
      </w:r>
      <w:r>
        <w:rPr>
          <w:kern w:val="0"/>
          <w:sz w:val="32"/>
          <w:szCs w:val="32"/>
          <w:shd w:val="clear" w:color="auto" w:fill="FFFFFF"/>
        </w:rPr>
        <w:t>应急管理部令第10号</w:t>
      </w:r>
      <w:r>
        <w:rPr>
          <w:rFonts w:hint="eastAsia"/>
          <w:kern w:val="0"/>
          <w:sz w:val="32"/>
          <w:szCs w:val="32"/>
          <w:shd w:val="clear" w:color="auto" w:fill="FFFFFF"/>
        </w:rPr>
        <w:t>）</w:t>
      </w:r>
      <w:r>
        <w:rPr>
          <w:kern w:val="0"/>
          <w:sz w:val="32"/>
          <w:szCs w:val="32"/>
          <w:shd w:val="clear" w:color="auto" w:fill="FFFFFF"/>
        </w:rPr>
        <w:t>的规定认定。</w:t>
      </w:r>
    </w:p>
    <w:p>
      <w:pPr>
        <w:shd w:val="clear" w:color="auto" w:fill="FFFFFF"/>
        <w:autoSpaceDN w:val="0"/>
        <w:spacing w:line="576" w:lineRule="exact"/>
        <w:ind w:firstLine="640" w:firstLineChars="200"/>
        <w:rPr>
          <w:kern w:val="0"/>
          <w:sz w:val="32"/>
          <w:szCs w:val="32"/>
          <w:shd w:val="clear" w:color="auto" w:fill="FFFFFF"/>
        </w:rPr>
      </w:pPr>
      <w:r>
        <w:rPr>
          <w:kern w:val="0"/>
          <w:sz w:val="32"/>
          <w:szCs w:val="32"/>
          <w:shd w:val="clear" w:color="auto" w:fill="FFFFFF"/>
        </w:rPr>
        <w:t>化工和危险化学品生产经营单位、烟花爆竹生产经营单位重大事故隐患的判定，按照原国家安全监管总局《关于印发</w:t>
      </w:r>
      <w:r>
        <w:rPr>
          <w:rFonts w:hint="eastAsia"/>
          <w:kern w:val="0"/>
          <w:sz w:val="32"/>
          <w:szCs w:val="32"/>
          <w:shd w:val="clear" w:color="auto" w:fill="FFFFFF"/>
        </w:rPr>
        <w:t>〈</w:t>
      </w:r>
      <w:r>
        <w:rPr>
          <w:kern w:val="0"/>
          <w:sz w:val="32"/>
          <w:szCs w:val="32"/>
          <w:shd w:val="clear" w:color="auto" w:fill="FFFFFF"/>
        </w:rPr>
        <w:t>化工和危险化学品生产经营单位重大生产安全事故隐患判定标准</w:t>
      </w:r>
      <w:r>
        <w:rPr>
          <w:rFonts w:hint="eastAsia"/>
          <w:kern w:val="0"/>
          <w:sz w:val="32"/>
          <w:szCs w:val="32"/>
          <w:shd w:val="clear" w:color="auto" w:fill="FFFFFF"/>
        </w:rPr>
        <w:t>（</w:t>
      </w:r>
      <w:r>
        <w:rPr>
          <w:kern w:val="0"/>
          <w:sz w:val="32"/>
          <w:szCs w:val="32"/>
          <w:shd w:val="clear" w:color="auto" w:fill="FFFFFF"/>
        </w:rPr>
        <w:t>试行</w:t>
      </w:r>
      <w:r>
        <w:rPr>
          <w:rFonts w:hint="eastAsia"/>
          <w:kern w:val="0"/>
          <w:sz w:val="32"/>
          <w:szCs w:val="32"/>
          <w:shd w:val="clear" w:color="auto" w:fill="FFFFFF"/>
        </w:rPr>
        <w:t>）》</w:t>
      </w:r>
      <w:r>
        <w:rPr>
          <w:kern w:val="0"/>
          <w:sz w:val="32"/>
          <w:szCs w:val="32"/>
          <w:shd w:val="clear" w:color="auto" w:fill="FFFFFF"/>
        </w:rPr>
        <w:t>和</w:t>
      </w:r>
      <w:r>
        <w:rPr>
          <w:rFonts w:hint="eastAsia"/>
          <w:kern w:val="0"/>
          <w:sz w:val="32"/>
          <w:szCs w:val="32"/>
          <w:shd w:val="clear" w:color="auto" w:fill="FFFFFF"/>
        </w:rPr>
        <w:t>〈</w:t>
      </w:r>
      <w:r>
        <w:rPr>
          <w:kern w:val="0"/>
          <w:sz w:val="32"/>
          <w:szCs w:val="32"/>
          <w:shd w:val="clear" w:color="auto" w:fill="FFFFFF"/>
        </w:rPr>
        <w:t>烟花爆竹生产经营单位重大生产安全事故隐患判定标准</w:t>
      </w:r>
      <w:r>
        <w:rPr>
          <w:rFonts w:hint="eastAsia"/>
          <w:kern w:val="0"/>
          <w:sz w:val="32"/>
          <w:szCs w:val="32"/>
          <w:shd w:val="clear" w:color="auto" w:fill="FFFFFF"/>
        </w:rPr>
        <w:t>（</w:t>
      </w:r>
      <w:r>
        <w:rPr>
          <w:kern w:val="0"/>
          <w:sz w:val="32"/>
          <w:szCs w:val="32"/>
          <w:shd w:val="clear" w:color="auto" w:fill="FFFFFF"/>
        </w:rPr>
        <w:t>试行</w:t>
      </w:r>
      <w:r>
        <w:rPr>
          <w:rFonts w:hint="eastAsia"/>
          <w:kern w:val="0"/>
          <w:sz w:val="32"/>
          <w:szCs w:val="32"/>
          <w:shd w:val="clear" w:color="auto" w:fill="FFFFFF"/>
        </w:rPr>
        <w:t>）〉</w:t>
      </w:r>
      <w:r>
        <w:rPr>
          <w:kern w:val="0"/>
          <w:sz w:val="32"/>
          <w:szCs w:val="32"/>
          <w:shd w:val="clear" w:color="auto" w:fill="FFFFFF"/>
        </w:rPr>
        <w:t>的通知》(安监总管三〔2017〕121号)的规定认定。</w:t>
      </w:r>
    </w:p>
    <w:p>
      <w:pPr>
        <w:shd w:val="clear" w:color="auto" w:fill="FFFFFF"/>
        <w:autoSpaceDN w:val="0"/>
        <w:spacing w:line="576" w:lineRule="exact"/>
        <w:ind w:firstLine="640" w:firstLineChars="200"/>
        <w:rPr>
          <w:kern w:val="0"/>
          <w:sz w:val="32"/>
          <w:szCs w:val="32"/>
        </w:rPr>
      </w:pPr>
      <w:r>
        <w:rPr>
          <w:kern w:val="0"/>
          <w:sz w:val="32"/>
          <w:szCs w:val="32"/>
          <w:shd w:val="clear" w:color="auto" w:fill="FFFFFF"/>
        </w:rPr>
        <w:t>其他行业和领域重大事故隐患的判定，按照负有安全监管职责的部门制定并向社会公布的判定标准认定。</w:t>
      </w:r>
    </w:p>
    <w:p>
      <w:pPr>
        <w:autoSpaceDN w:val="0"/>
        <w:spacing w:line="576" w:lineRule="exact"/>
        <w:ind w:firstLine="640" w:firstLineChars="200"/>
        <w:rPr>
          <w:kern w:val="0"/>
          <w:sz w:val="32"/>
          <w:szCs w:val="32"/>
          <w:shd w:val="clear" w:color="auto" w:fill="FFFFFF"/>
          <w:lang w:bidi="ar"/>
        </w:rPr>
      </w:pPr>
      <w:r>
        <w:rPr>
          <w:rFonts w:ascii="黑体" w:hAnsi="黑体" w:eastAsia="黑体"/>
          <w:sz w:val="32"/>
          <w:szCs w:val="32"/>
          <w:shd w:val="clear" w:color="auto" w:fill="FFFFFF"/>
        </w:rPr>
        <w:t>第七条</w:t>
      </w:r>
      <w:r>
        <w:rPr>
          <w:sz w:val="32"/>
          <w:szCs w:val="32"/>
          <w:shd w:val="clear" w:color="auto" w:fill="FFFFFF"/>
        </w:rPr>
        <w:t xml:space="preserve">  </w:t>
      </w:r>
      <w:r>
        <w:rPr>
          <w:color w:val="000000"/>
          <w:sz w:val="32"/>
          <w:szCs w:val="32"/>
          <w:shd w:val="clear" w:color="auto" w:fill="FFFFFF"/>
        </w:rPr>
        <w:t>本办法所称安全生产违法行为，</w:t>
      </w:r>
      <w:r>
        <w:rPr>
          <w:kern w:val="0"/>
          <w:sz w:val="32"/>
          <w:szCs w:val="32"/>
          <w:shd w:val="clear" w:color="auto" w:fill="FFFFFF"/>
          <w:lang w:bidi="ar"/>
        </w:rPr>
        <w:t>包括以下情形和行为：</w:t>
      </w:r>
    </w:p>
    <w:p>
      <w:pPr>
        <w:shd w:val="clear" w:color="auto" w:fill="FFFFFF"/>
        <w:autoSpaceDN w:val="0"/>
        <w:spacing w:line="576" w:lineRule="exact"/>
        <w:ind w:firstLine="640" w:firstLineChars="200"/>
        <w:rPr>
          <w:kern w:val="0"/>
          <w:sz w:val="32"/>
          <w:szCs w:val="32"/>
        </w:rPr>
      </w:pPr>
      <w:r>
        <w:rPr>
          <w:kern w:val="0"/>
          <w:sz w:val="32"/>
          <w:szCs w:val="32"/>
          <w:shd w:val="clear" w:color="auto" w:fill="FFFFFF"/>
        </w:rPr>
        <w:t>（一）没有获得有关安全生产许可证或证照不全、证照过期、证照未变更从事生产经营、建设活动的；未依法取得批准或验收合格，擅自从事生产经营活动的；关闭取缔后又擅自从事生产经营、建设活动的；停产整顿、整合技改未经验收擅自组织生产和违反建设项目安全设施“三同时”规定的。</w:t>
      </w:r>
    </w:p>
    <w:p>
      <w:pPr>
        <w:autoSpaceDN w:val="0"/>
        <w:spacing w:line="576" w:lineRule="exact"/>
        <w:ind w:firstLine="640" w:firstLineChars="200"/>
        <w:rPr>
          <w:kern w:val="0"/>
          <w:sz w:val="32"/>
          <w:szCs w:val="32"/>
          <w:shd w:val="clear" w:color="auto" w:fill="FFFFFF"/>
          <w:lang w:bidi="ar"/>
        </w:rPr>
      </w:pPr>
      <w:r>
        <w:rPr>
          <w:kern w:val="0"/>
          <w:sz w:val="32"/>
          <w:szCs w:val="32"/>
          <w:shd w:val="clear" w:color="auto" w:fill="FFFFFF"/>
          <w:lang w:bidi="ar"/>
        </w:rPr>
        <w:t>（二）未依法对从业人员进行安全生产教育和培训，或非煤矿山和危险化学品生产、经营、储存单位，金属冶炼、建筑施工、道路交通运输单位的主要负责人和安全生产管理人员未依法经安全生产知识和管理能力考核合格，或特种作业人员未依法取得特种作业操作资格证书而上岗作业的；与从业人员订立劳动合同，免除或减轻其对从业人员因生产安全事故伤亡依法应承担的责任的。</w:t>
      </w:r>
    </w:p>
    <w:p>
      <w:pPr>
        <w:autoSpaceDN w:val="0"/>
        <w:spacing w:line="576" w:lineRule="exact"/>
        <w:ind w:firstLine="640" w:firstLineChars="200"/>
        <w:rPr>
          <w:kern w:val="0"/>
          <w:sz w:val="32"/>
          <w:szCs w:val="32"/>
          <w:shd w:val="clear" w:color="auto" w:fill="FFFFFF"/>
          <w:lang w:bidi="ar"/>
        </w:rPr>
      </w:pPr>
      <w:r>
        <w:rPr>
          <w:kern w:val="0"/>
          <w:sz w:val="32"/>
          <w:szCs w:val="32"/>
          <w:shd w:val="clear" w:color="auto" w:fill="FFFFFF"/>
          <w:lang w:bidi="ar"/>
        </w:rPr>
        <w:t>（三）将生产经营项目、场所、设备发包或出租给不具备安全生产条件或相应资质（资格）的单位或个人，或未与承包单位、承租单位签订专门的安全生产管理协议，或未在承包合同、租赁合同中明确各自的安全生产管理职责，或未对承包、承租单位的安全生产进行统一协调、管理的。</w:t>
      </w:r>
    </w:p>
    <w:p>
      <w:pPr>
        <w:autoSpaceDN w:val="0"/>
        <w:spacing w:line="576" w:lineRule="exact"/>
        <w:ind w:firstLine="640" w:firstLineChars="200"/>
        <w:rPr>
          <w:kern w:val="0"/>
          <w:sz w:val="32"/>
          <w:szCs w:val="32"/>
          <w:shd w:val="clear" w:color="auto" w:fill="FFFFFF"/>
          <w:lang w:bidi="ar"/>
        </w:rPr>
      </w:pPr>
      <w:r>
        <w:rPr>
          <w:kern w:val="0"/>
          <w:sz w:val="32"/>
          <w:szCs w:val="32"/>
          <w:shd w:val="clear" w:color="auto" w:fill="FFFFFF"/>
          <w:lang w:bidi="ar"/>
        </w:rPr>
        <w:t>（四）未按国家有关规定对危险物品进行管理或使用国家明令淘汰、禁止的危及生产安全的工艺、设备的。</w:t>
      </w:r>
    </w:p>
    <w:p>
      <w:pPr>
        <w:autoSpaceDN w:val="0"/>
        <w:spacing w:line="576" w:lineRule="exact"/>
        <w:ind w:firstLine="640" w:firstLineChars="200"/>
        <w:rPr>
          <w:kern w:val="0"/>
          <w:sz w:val="32"/>
          <w:szCs w:val="32"/>
          <w:shd w:val="clear" w:color="auto" w:fill="FFFFFF"/>
          <w:lang w:bidi="ar"/>
        </w:rPr>
      </w:pPr>
      <w:r>
        <w:rPr>
          <w:kern w:val="0"/>
          <w:sz w:val="32"/>
          <w:szCs w:val="32"/>
          <w:shd w:val="clear" w:color="auto" w:fill="FFFFFF"/>
          <w:lang w:bidi="ar"/>
        </w:rPr>
        <w:t>（五）承担安全评价、认证、检测、检验职责的机构租借资质、挂靠、出具虚假报告的。</w:t>
      </w:r>
    </w:p>
    <w:p>
      <w:pPr>
        <w:autoSpaceDN w:val="0"/>
        <w:spacing w:line="576" w:lineRule="exact"/>
        <w:ind w:firstLine="640" w:firstLineChars="200"/>
        <w:rPr>
          <w:kern w:val="0"/>
          <w:sz w:val="32"/>
          <w:szCs w:val="32"/>
          <w:shd w:val="clear" w:color="auto" w:fill="FFFFFF"/>
          <w:lang w:bidi="ar"/>
        </w:rPr>
      </w:pPr>
      <w:r>
        <w:rPr>
          <w:kern w:val="0"/>
          <w:sz w:val="32"/>
          <w:szCs w:val="32"/>
          <w:shd w:val="clear" w:color="auto" w:fill="FFFFFF"/>
          <w:lang w:bidi="ar"/>
        </w:rPr>
        <w:t>（六）生产安全事故瞒报、谎报以及重大事故隐患隐瞒不报，或不按规定期限予以整治的，或生产经营单位主要负责人在发生伤亡事故后逃匿的。</w:t>
      </w:r>
    </w:p>
    <w:p>
      <w:pPr>
        <w:autoSpaceDN w:val="0"/>
        <w:spacing w:line="576" w:lineRule="exact"/>
        <w:ind w:firstLine="640" w:firstLineChars="200"/>
        <w:rPr>
          <w:kern w:val="0"/>
          <w:sz w:val="32"/>
          <w:szCs w:val="32"/>
          <w:shd w:val="clear" w:color="auto" w:fill="FFFFFF"/>
          <w:lang w:bidi="ar"/>
        </w:rPr>
      </w:pPr>
      <w:r>
        <w:rPr>
          <w:kern w:val="0"/>
          <w:sz w:val="32"/>
          <w:szCs w:val="32"/>
          <w:shd w:val="clear" w:color="auto" w:fill="FFFFFF"/>
          <w:lang w:bidi="ar"/>
        </w:rPr>
        <w:t>（</w:t>
      </w:r>
      <w:r>
        <w:rPr>
          <w:kern w:val="0"/>
          <w:sz w:val="32"/>
          <w:szCs w:val="32"/>
          <w:shd w:val="clear" w:color="auto" w:fill="FFFFFF"/>
          <w:lang w:eastAsia="zh-Hans" w:bidi="ar"/>
        </w:rPr>
        <w:t>七</w:t>
      </w:r>
      <w:r>
        <w:rPr>
          <w:kern w:val="0"/>
          <w:sz w:val="32"/>
          <w:szCs w:val="32"/>
          <w:shd w:val="clear" w:color="auto" w:fill="FFFFFF"/>
          <w:lang w:bidi="ar"/>
        </w:rPr>
        <w:t>）法律、行政法规、国家标准或行业标准规定的其他安全生产违法行为。</w:t>
      </w:r>
    </w:p>
    <w:p>
      <w:pPr>
        <w:autoSpaceDN w:val="0"/>
        <w:spacing w:line="576" w:lineRule="exact"/>
        <w:ind w:firstLine="640" w:firstLineChars="200"/>
        <w:rPr>
          <w:sz w:val="32"/>
          <w:szCs w:val="32"/>
          <w:shd w:val="clear" w:color="auto" w:fill="FFFFFF"/>
        </w:rPr>
      </w:pPr>
      <w:r>
        <w:rPr>
          <w:rFonts w:ascii="黑体" w:hAnsi="黑体" w:eastAsia="黑体"/>
          <w:sz w:val="32"/>
          <w:szCs w:val="32"/>
          <w:shd w:val="clear" w:color="auto" w:fill="FFFFFF"/>
        </w:rPr>
        <w:t>第八条</w:t>
      </w:r>
      <w:r>
        <w:rPr>
          <w:sz w:val="32"/>
          <w:szCs w:val="32"/>
          <w:shd w:val="clear" w:color="auto" w:fill="FFFFFF"/>
        </w:rPr>
        <w:t xml:space="preserve">  有下列情形之一的，不属于本办法奖励的范围：</w:t>
      </w:r>
    </w:p>
    <w:p>
      <w:pPr>
        <w:autoSpaceDN w:val="0"/>
        <w:spacing w:line="576" w:lineRule="exact"/>
        <w:ind w:firstLine="640" w:firstLineChars="200"/>
        <w:rPr>
          <w:sz w:val="32"/>
          <w:szCs w:val="32"/>
          <w:shd w:val="clear" w:color="auto" w:fill="FFFFFF"/>
        </w:rPr>
      </w:pPr>
      <w:r>
        <w:rPr>
          <w:sz w:val="32"/>
          <w:szCs w:val="32"/>
          <w:shd w:val="clear" w:color="auto" w:fill="FFFFFF"/>
        </w:rPr>
        <w:t>（一）无明确的举报对象或者具体的举报事项的。</w:t>
      </w:r>
    </w:p>
    <w:p>
      <w:pPr>
        <w:autoSpaceDN w:val="0"/>
        <w:spacing w:line="576" w:lineRule="exact"/>
        <w:ind w:firstLine="640" w:firstLineChars="200"/>
        <w:rPr>
          <w:sz w:val="32"/>
          <w:szCs w:val="32"/>
          <w:shd w:val="clear" w:color="auto" w:fill="FFFFFF"/>
        </w:rPr>
      </w:pPr>
      <w:r>
        <w:rPr>
          <w:sz w:val="32"/>
          <w:szCs w:val="32"/>
          <w:shd w:val="clear" w:color="auto" w:fill="FFFFFF"/>
        </w:rPr>
        <w:t>（二）举报人是负有安全监管职责的工作人员及其直系亲属的。</w:t>
      </w:r>
    </w:p>
    <w:p>
      <w:pPr>
        <w:autoSpaceDN w:val="0"/>
        <w:spacing w:line="576" w:lineRule="exact"/>
        <w:ind w:firstLine="640" w:firstLineChars="200"/>
        <w:rPr>
          <w:sz w:val="32"/>
          <w:szCs w:val="32"/>
          <w:shd w:val="clear" w:color="auto" w:fill="FFFFFF"/>
        </w:rPr>
      </w:pPr>
      <w:r>
        <w:rPr>
          <w:sz w:val="32"/>
          <w:szCs w:val="32"/>
          <w:shd w:val="clear" w:color="auto" w:fill="FFFFFF"/>
        </w:rPr>
        <w:t>（三）举报内容属于信访事项的，或应当通过行政复议、诉讼、仲裁等途径解决的，或已进入司法程序的。</w:t>
      </w:r>
    </w:p>
    <w:p>
      <w:pPr>
        <w:autoSpaceDN w:val="0"/>
        <w:spacing w:line="576" w:lineRule="exact"/>
        <w:ind w:firstLine="640" w:firstLineChars="200"/>
        <w:rPr>
          <w:sz w:val="32"/>
          <w:szCs w:val="32"/>
          <w:shd w:val="clear" w:color="auto" w:fill="FFFFFF"/>
        </w:rPr>
      </w:pPr>
      <w:r>
        <w:rPr>
          <w:sz w:val="32"/>
          <w:szCs w:val="32"/>
          <w:shd w:val="clear" w:color="auto" w:fill="FFFFFF"/>
        </w:rPr>
        <w:t>（四）举报事项已经受理或正在查处的。</w:t>
      </w:r>
    </w:p>
    <w:p>
      <w:pPr>
        <w:autoSpaceDN w:val="0"/>
        <w:spacing w:line="576" w:lineRule="exact"/>
        <w:ind w:firstLine="640" w:firstLineChars="200"/>
        <w:rPr>
          <w:sz w:val="32"/>
          <w:szCs w:val="32"/>
          <w:shd w:val="clear" w:color="auto" w:fill="FFFFFF"/>
        </w:rPr>
      </w:pPr>
      <w:r>
        <w:rPr>
          <w:sz w:val="32"/>
          <w:szCs w:val="32"/>
          <w:shd w:val="clear" w:color="auto" w:fill="FFFFFF"/>
        </w:rPr>
        <w:t>（五）其他不符合法律、法规规定的情形。</w:t>
      </w:r>
    </w:p>
    <w:p>
      <w:pPr>
        <w:shd w:val="clear" w:color="auto" w:fill="FFFFFF"/>
        <w:autoSpaceDN w:val="0"/>
        <w:spacing w:line="576" w:lineRule="exact"/>
        <w:ind w:firstLine="640" w:firstLineChars="200"/>
        <w:rPr>
          <w:kern w:val="0"/>
          <w:sz w:val="32"/>
          <w:szCs w:val="32"/>
          <w:shd w:val="clear" w:color="auto" w:fill="FFFFFF"/>
        </w:rPr>
      </w:pPr>
      <w:r>
        <w:rPr>
          <w:rFonts w:ascii="黑体" w:hAnsi="黑体" w:eastAsia="黑体"/>
          <w:kern w:val="0"/>
          <w:sz w:val="32"/>
          <w:szCs w:val="32"/>
          <w:shd w:val="clear" w:color="auto" w:fill="FFFFFF"/>
        </w:rPr>
        <w:t>第九条</w:t>
      </w:r>
      <w:r>
        <w:rPr>
          <w:kern w:val="0"/>
          <w:sz w:val="32"/>
          <w:szCs w:val="32"/>
          <w:shd w:val="clear" w:color="auto" w:fill="FFFFFF"/>
        </w:rPr>
        <w:t xml:space="preserve">  安全生产举报事项经调查属实的，按下列规定对举报人给予现金奖励：</w:t>
      </w:r>
    </w:p>
    <w:p>
      <w:pPr>
        <w:shd w:val="clear" w:color="auto" w:fill="FFFFFF"/>
        <w:autoSpaceDN w:val="0"/>
        <w:spacing w:line="576" w:lineRule="exact"/>
        <w:ind w:firstLine="640" w:firstLineChars="200"/>
        <w:rPr>
          <w:kern w:val="0"/>
          <w:sz w:val="32"/>
          <w:szCs w:val="32"/>
          <w:shd w:val="clear" w:color="auto" w:fill="FFFFFF"/>
          <w:lang w:bidi="ar"/>
        </w:rPr>
      </w:pPr>
      <w:r>
        <w:rPr>
          <w:kern w:val="0"/>
          <w:sz w:val="32"/>
          <w:szCs w:val="32"/>
          <w:shd w:val="clear" w:color="auto" w:fill="FFFFFF"/>
          <w:lang w:bidi="ar"/>
        </w:rPr>
        <w:t>（一）对举报瞒报、谎报生产安全事故的，按照最终确认的事故等级和查实举报的瞒报谎报死亡人数给予奖励。其中：一般事故按每查实瞒报谎报1人奖励3万元计算；较大事故按每查实瞒报谎报1人奖励4万元计算；重大事故按每查实瞒报谎报1人奖励5万元计算；特别重大事故按每查实瞒报谎报1人奖励6万元计算。最高奖励不超过30万元。</w:t>
      </w:r>
    </w:p>
    <w:p>
      <w:pPr>
        <w:shd w:val="clear" w:color="auto" w:fill="FFFFFF"/>
        <w:autoSpaceDN w:val="0"/>
        <w:spacing w:line="576" w:lineRule="exact"/>
        <w:ind w:firstLine="640" w:firstLineChars="200"/>
        <w:rPr>
          <w:kern w:val="0"/>
          <w:sz w:val="32"/>
          <w:szCs w:val="32"/>
          <w:shd w:val="clear" w:color="auto" w:fill="FFFFFF"/>
        </w:rPr>
      </w:pPr>
      <w:r>
        <w:rPr>
          <w:kern w:val="0"/>
          <w:sz w:val="32"/>
          <w:szCs w:val="32"/>
          <w:shd w:val="clear" w:color="auto" w:fill="FFFFFF"/>
        </w:rPr>
        <w:t>（二）对举报除</w:t>
      </w:r>
      <w:r>
        <w:rPr>
          <w:kern w:val="0"/>
          <w:sz w:val="32"/>
          <w:szCs w:val="32"/>
          <w:shd w:val="clear" w:color="auto" w:fill="FFFFFF"/>
          <w:lang w:bidi="ar"/>
        </w:rPr>
        <w:t>瞒报、谎报生产安全事故外的其他安全生产违法行为和</w:t>
      </w:r>
      <w:r>
        <w:rPr>
          <w:kern w:val="0"/>
          <w:sz w:val="32"/>
          <w:szCs w:val="32"/>
          <w:shd w:val="clear" w:color="auto" w:fill="FFFFFF"/>
        </w:rPr>
        <w:t>重大生产安全事故隐患，奖励金额按照行政处罚金额的15%计算，</w:t>
      </w:r>
      <w:r>
        <w:rPr>
          <w:kern w:val="0"/>
          <w:sz w:val="32"/>
          <w:szCs w:val="32"/>
          <w:shd w:val="clear" w:color="auto" w:fill="FFFFFF"/>
          <w:lang w:bidi="ar"/>
        </w:rPr>
        <w:t>最低奖励3000元，</w:t>
      </w:r>
      <w:r>
        <w:rPr>
          <w:kern w:val="0"/>
          <w:sz w:val="32"/>
          <w:szCs w:val="32"/>
          <w:shd w:val="clear" w:color="auto" w:fill="FFFFFF"/>
        </w:rPr>
        <w:t>最高不超过30万元。行政处罚依据《中华人民共和国安全生产法》《安全生产违法行为行政处罚办法》《安全生产行政处罚自由裁量标准》《四川省安全生产条例》《四川省安全生产举报奖励办法》等法律法规及规章制度执行。未作罚款处理的，奖励举报人奖金1000元。</w:t>
      </w:r>
    </w:p>
    <w:p>
      <w:pPr>
        <w:shd w:val="clear" w:color="auto" w:fill="FFFFFF"/>
        <w:autoSpaceDN w:val="0"/>
        <w:spacing w:line="576" w:lineRule="exact"/>
        <w:ind w:firstLine="800" w:firstLineChars="250"/>
        <w:jc w:val="left"/>
        <w:rPr>
          <w:kern w:val="0"/>
          <w:sz w:val="32"/>
          <w:szCs w:val="32"/>
          <w:shd w:val="clear" w:color="auto" w:fill="FFFFFF"/>
          <w:lang w:bidi="ar"/>
        </w:rPr>
      </w:pPr>
      <w:r>
        <w:rPr>
          <w:kern w:val="0"/>
          <w:sz w:val="32"/>
          <w:szCs w:val="32"/>
          <w:shd w:val="clear" w:color="auto" w:fill="FFFFFF"/>
          <w:lang w:bidi="ar"/>
        </w:rPr>
        <w:t>（三）鼓励生产经营单位从业人员积极举报身边的重大事故隐患和安全生产违法行为。生产经营单位从业人员（包括其家属）举报其所在单位的重大事故隐患和安全生产违法行为，经核查属实的，奖励金额上浮10%，最高不超过30万元。</w:t>
      </w:r>
    </w:p>
    <w:p>
      <w:pPr>
        <w:shd w:val="clear" w:color="auto" w:fill="FFFFFF"/>
        <w:autoSpaceDN w:val="0"/>
        <w:spacing w:line="576" w:lineRule="exact"/>
        <w:jc w:val="left"/>
        <w:rPr>
          <w:rFonts w:hint="eastAsia"/>
          <w:kern w:val="0"/>
          <w:sz w:val="32"/>
          <w:szCs w:val="32"/>
          <w:shd w:val="clear" w:color="auto" w:fill="FFFFFF"/>
        </w:rPr>
      </w:pPr>
    </w:p>
    <w:p>
      <w:pPr>
        <w:shd w:val="clear" w:color="auto" w:fill="FFFFFF"/>
        <w:autoSpaceDN w:val="0"/>
        <w:spacing w:line="576" w:lineRule="exact"/>
        <w:jc w:val="center"/>
        <w:rPr>
          <w:rFonts w:ascii="黑体" w:hAnsi="黑体" w:eastAsia="黑体"/>
          <w:kern w:val="0"/>
          <w:sz w:val="32"/>
          <w:szCs w:val="32"/>
        </w:rPr>
      </w:pPr>
      <w:r>
        <w:rPr>
          <w:rFonts w:ascii="黑体" w:hAnsi="黑体" w:eastAsia="黑体"/>
          <w:kern w:val="0"/>
          <w:sz w:val="32"/>
          <w:szCs w:val="32"/>
          <w:shd w:val="clear" w:color="auto" w:fill="FFFFFF"/>
        </w:rPr>
        <w:t>第三章  举报办理</w:t>
      </w:r>
    </w:p>
    <w:p>
      <w:pPr>
        <w:shd w:val="clear" w:color="auto" w:fill="FFFFFF"/>
        <w:autoSpaceDN w:val="0"/>
        <w:spacing w:line="576" w:lineRule="exact"/>
        <w:ind w:firstLine="640" w:firstLineChars="200"/>
        <w:rPr>
          <w:kern w:val="0"/>
          <w:sz w:val="32"/>
          <w:szCs w:val="32"/>
          <w:shd w:val="clear" w:color="auto" w:fill="FFFFFF"/>
        </w:rPr>
      </w:pPr>
      <w:r>
        <w:rPr>
          <w:rFonts w:hint="eastAsia" w:ascii="黑体" w:hAnsi="黑体" w:eastAsia="黑体"/>
          <w:kern w:val="0"/>
          <w:sz w:val="32"/>
          <w:szCs w:val="32"/>
          <w:shd w:val="clear" w:color="auto" w:fill="FFFFFF"/>
        </w:rPr>
        <w:t>第十条</w:t>
      </w:r>
      <w:r>
        <w:rPr>
          <w:rFonts w:hint="eastAsia"/>
          <w:kern w:val="0"/>
          <w:sz w:val="32"/>
          <w:szCs w:val="32"/>
          <w:shd w:val="clear" w:color="auto" w:fill="FFFFFF"/>
        </w:rPr>
        <w:t xml:space="preserve">  </w:t>
      </w:r>
      <w:r>
        <w:rPr>
          <w:kern w:val="0"/>
          <w:sz w:val="32"/>
          <w:szCs w:val="32"/>
          <w:shd w:val="clear" w:color="auto" w:fill="FFFFFF"/>
        </w:rPr>
        <w:t>举报人可以通过拨打政府服务热线“12345”、安全生产举报投诉特服电话“12350”，或以书信、电子邮件、传真、走访等方式举报重大生产安全事故隐患和安全生产违法行为。</w:t>
      </w:r>
    </w:p>
    <w:p>
      <w:pPr>
        <w:shd w:val="clear" w:color="auto" w:fill="FFFFFF"/>
        <w:autoSpaceDN w:val="0"/>
        <w:spacing w:line="576" w:lineRule="exact"/>
        <w:ind w:firstLine="640" w:firstLineChars="200"/>
        <w:rPr>
          <w:kern w:val="0"/>
          <w:sz w:val="32"/>
          <w:szCs w:val="32"/>
          <w:shd w:val="clear" w:color="auto" w:fill="FFFFFF"/>
        </w:rPr>
      </w:pPr>
      <w:r>
        <w:rPr>
          <w:rFonts w:ascii="黑体" w:hAnsi="黑体" w:eastAsia="黑体"/>
          <w:kern w:val="0"/>
          <w:sz w:val="32"/>
          <w:szCs w:val="32"/>
          <w:shd w:val="clear" w:color="auto" w:fill="FFFFFF"/>
        </w:rPr>
        <w:t>第十一条</w:t>
      </w:r>
      <w:r>
        <w:rPr>
          <w:kern w:val="0"/>
          <w:sz w:val="32"/>
          <w:szCs w:val="32"/>
          <w:shd w:val="clear" w:color="auto" w:fill="FFFFFF"/>
        </w:rPr>
        <w:t xml:space="preserve">  各级负有安全监管职责的部门负责受理本辖区内的举报事项；市级负有安全监管职责的部门可以依照各自的职责直接核查处理辖区内的举报事项，也可交由下一级部门核查处理。重大生产安全事故隐患、安全生产违法行为举报处理，按下列规定办理：</w:t>
      </w:r>
    </w:p>
    <w:p>
      <w:pPr>
        <w:shd w:val="clear" w:color="auto" w:fill="FFFFFF"/>
        <w:autoSpaceDN w:val="0"/>
        <w:spacing w:line="576" w:lineRule="exact"/>
        <w:ind w:firstLine="640" w:firstLineChars="200"/>
        <w:rPr>
          <w:rFonts w:ascii="楷体_GB2312" w:eastAsia="楷体_GB2312"/>
          <w:kern w:val="0"/>
          <w:sz w:val="32"/>
          <w:szCs w:val="32"/>
          <w:shd w:val="clear" w:color="auto" w:fill="FFFFFF"/>
        </w:rPr>
      </w:pPr>
      <w:r>
        <w:rPr>
          <w:rFonts w:hint="eastAsia" w:ascii="楷体_GB2312" w:eastAsia="楷体_GB2312"/>
          <w:kern w:val="0"/>
          <w:sz w:val="32"/>
          <w:szCs w:val="32"/>
          <w:shd w:val="clear" w:color="auto" w:fill="FFFFFF"/>
        </w:rPr>
        <w:t>（一）举报登记。</w:t>
      </w:r>
      <w:r>
        <w:rPr>
          <w:kern w:val="0"/>
          <w:sz w:val="32"/>
          <w:szCs w:val="32"/>
          <w:shd w:val="clear" w:color="auto" w:fill="FFFFFF"/>
        </w:rPr>
        <w:t>接到举报的负有安全生产监督管理职责的部门对举报进行登记。属于管辖范围内的举报事项应当受理；对不属于管辖范围内的举报事项，应当告知举报人向有处理权的单位举报，或在5个工作日内将举报材料移送有管辖权的部门处理，其中对举报生产安全事故的应当立即查处或移送。移送处理的案件应采取适当方式告知举报人。</w:t>
      </w:r>
    </w:p>
    <w:p>
      <w:pPr>
        <w:shd w:val="clear" w:color="auto" w:fill="FFFFFF"/>
        <w:autoSpaceDN w:val="0"/>
        <w:spacing w:line="576" w:lineRule="exact"/>
        <w:ind w:firstLine="640" w:firstLineChars="200"/>
        <w:rPr>
          <w:kern w:val="0"/>
          <w:sz w:val="32"/>
          <w:szCs w:val="32"/>
          <w:shd w:val="clear" w:color="auto" w:fill="FFFFFF"/>
        </w:rPr>
      </w:pPr>
      <w:r>
        <w:rPr>
          <w:rFonts w:ascii="楷体_GB2312" w:eastAsia="楷体_GB2312"/>
          <w:kern w:val="0"/>
          <w:sz w:val="32"/>
          <w:szCs w:val="32"/>
          <w:shd w:val="clear" w:color="auto" w:fill="FFFFFF"/>
        </w:rPr>
        <w:t>（二）案件调查。</w:t>
      </w:r>
      <w:r>
        <w:rPr>
          <w:kern w:val="0"/>
          <w:sz w:val="32"/>
          <w:szCs w:val="32"/>
          <w:shd w:val="clear" w:color="auto" w:fill="FFFFFF"/>
        </w:rPr>
        <w:t>受理举报的负有安全生产监督管理职责的部门应当及时核查处理举报事项，自受理之日起60日内办结；情况复杂的，经上一级负有安全生产监督管理职责的部门批准，可以适当延长核查处理时间，但延长期限不得超过30日，并告知举报人延期理由。</w:t>
      </w:r>
    </w:p>
    <w:p>
      <w:pPr>
        <w:shd w:val="clear" w:color="auto" w:fill="FFFFFF"/>
        <w:autoSpaceDN w:val="0"/>
        <w:spacing w:line="576" w:lineRule="exact"/>
        <w:ind w:firstLine="640" w:firstLineChars="200"/>
        <w:rPr>
          <w:rFonts w:ascii="楷体_GB2312" w:eastAsia="楷体_GB2312"/>
          <w:kern w:val="0"/>
          <w:sz w:val="32"/>
          <w:szCs w:val="32"/>
          <w:shd w:val="clear" w:color="auto" w:fill="FFFFFF"/>
        </w:rPr>
      </w:pPr>
      <w:r>
        <w:rPr>
          <w:kern w:val="0"/>
          <w:sz w:val="32"/>
          <w:szCs w:val="32"/>
          <w:shd w:val="clear" w:color="auto" w:fill="FFFFFF"/>
        </w:rPr>
        <w:t>受核查手段限制，无法查清的，应及时报告有关县（</w:t>
      </w:r>
      <w:r>
        <w:rPr>
          <w:kern w:val="0"/>
          <w:sz w:val="32"/>
          <w:szCs w:val="32"/>
          <w:shd w:val="clear" w:color="auto" w:fill="FFFFFF"/>
          <w:lang w:eastAsia="zh-Hans"/>
        </w:rPr>
        <w:t>市、</w:t>
      </w:r>
      <w:r>
        <w:rPr>
          <w:kern w:val="0"/>
          <w:sz w:val="32"/>
          <w:szCs w:val="32"/>
          <w:shd w:val="clear" w:color="auto" w:fill="FFFFFF"/>
        </w:rPr>
        <w:t>区）政府、</w:t>
      </w:r>
      <w:r>
        <w:rPr>
          <w:kern w:val="0"/>
          <w:sz w:val="32"/>
          <w:szCs w:val="32"/>
          <w:shd w:val="clear" w:color="auto" w:fill="FFFFFF"/>
          <w:lang w:eastAsia="zh-Hans"/>
        </w:rPr>
        <w:t>市直园区管委会</w:t>
      </w:r>
      <w:r>
        <w:rPr>
          <w:kern w:val="0"/>
          <w:sz w:val="32"/>
          <w:szCs w:val="32"/>
          <w:shd w:val="clear" w:color="auto" w:fill="FFFFFF"/>
        </w:rPr>
        <w:t>，由其牵头组织核查。</w:t>
      </w:r>
    </w:p>
    <w:p>
      <w:pPr>
        <w:shd w:val="clear" w:color="auto" w:fill="FFFFFF"/>
        <w:autoSpaceDN w:val="0"/>
        <w:spacing w:line="576" w:lineRule="exact"/>
        <w:ind w:firstLine="640" w:firstLineChars="200"/>
        <w:rPr>
          <w:kern w:val="0"/>
          <w:sz w:val="32"/>
          <w:szCs w:val="32"/>
          <w:shd w:val="clear" w:color="auto" w:fill="FFFFFF"/>
        </w:rPr>
      </w:pPr>
      <w:r>
        <w:rPr>
          <w:rFonts w:ascii="楷体_GB2312" w:eastAsia="楷体_GB2312"/>
          <w:kern w:val="0"/>
          <w:sz w:val="32"/>
          <w:szCs w:val="32"/>
          <w:shd w:val="clear" w:color="auto" w:fill="FFFFFF"/>
        </w:rPr>
        <w:t>（三）审理决定。</w:t>
      </w:r>
      <w:r>
        <w:rPr>
          <w:kern w:val="0"/>
          <w:sz w:val="32"/>
          <w:szCs w:val="32"/>
          <w:shd w:val="clear" w:color="auto" w:fill="FFFFFF"/>
        </w:rPr>
        <w:t>负责调查的负有安全生产监督管理职责的部门应当按照法定审理程序对案件调查作出结论意见或处理决定。</w:t>
      </w:r>
    </w:p>
    <w:p>
      <w:pPr>
        <w:shd w:val="clear" w:color="auto" w:fill="FFFFFF"/>
        <w:autoSpaceDN w:val="0"/>
        <w:spacing w:line="576" w:lineRule="exact"/>
        <w:ind w:firstLine="640" w:firstLineChars="200"/>
        <w:rPr>
          <w:kern w:val="0"/>
          <w:sz w:val="32"/>
          <w:szCs w:val="32"/>
          <w:shd w:val="clear" w:color="auto" w:fill="FFFFFF"/>
          <w:lang w:bidi="ar"/>
        </w:rPr>
      </w:pPr>
      <w:r>
        <w:rPr>
          <w:rFonts w:ascii="楷体_GB2312" w:eastAsia="楷体_GB2312"/>
          <w:kern w:val="0"/>
          <w:sz w:val="32"/>
          <w:szCs w:val="32"/>
          <w:shd w:val="clear" w:color="auto" w:fill="FFFFFF"/>
        </w:rPr>
        <w:t>（四）案件反馈。</w:t>
      </w:r>
      <w:r>
        <w:rPr>
          <w:kern w:val="0"/>
          <w:sz w:val="32"/>
          <w:szCs w:val="32"/>
          <w:shd w:val="clear" w:color="auto" w:fill="FFFFFF"/>
          <w:lang w:bidi="ar"/>
        </w:rPr>
        <w:t>负责调查的负有安全生产监督管理职责的部门应将简要案情、处理结果于处理决定作出后10个工作日内告知举报人，无法联系举报人的除外。</w:t>
      </w:r>
    </w:p>
    <w:p>
      <w:pPr>
        <w:autoSpaceDN w:val="0"/>
        <w:spacing w:line="576" w:lineRule="exact"/>
        <w:ind w:firstLine="640" w:firstLineChars="200"/>
        <w:jc w:val="left"/>
        <w:rPr>
          <w:sz w:val="32"/>
          <w:szCs w:val="32"/>
          <w:shd w:val="clear" w:color="auto" w:fill="FFFFFF"/>
        </w:rPr>
      </w:pPr>
      <w:r>
        <w:rPr>
          <w:rFonts w:ascii="楷体_GB2312" w:eastAsia="楷体_GB2312"/>
          <w:kern w:val="0"/>
          <w:sz w:val="32"/>
          <w:szCs w:val="32"/>
          <w:shd w:val="clear" w:color="auto" w:fill="FFFFFF"/>
        </w:rPr>
        <w:t>（五）案件统计报告。</w:t>
      </w:r>
      <w:r>
        <w:rPr>
          <w:sz w:val="32"/>
          <w:szCs w:val="32"/>
          <w:shd w:val="clear" w:color="auto" w:fill="FFFFFF"/>
        </w:rPr>
        <w:t>负责调查的负有安全生产监督管理职责的部门应及时将处理结果归档，做好相关统计工作，每季度报市安办备案。</w:t>
      </w:r>
    </w:p>
    <w:p>
      <w:pPr>
        <w:autoSpaceDN w:val="0"/>
        <w:spacing w:line="576" w:lineRule="exact"/>
        <w:ind w:firstLine="640" w:firstLineChars="200"/>
        <w:jc w:val="left"/>
        <w:rPr>
          <w:sz w:val="32"/>
          <w:szCs w:val="32"/>
          <w:shd w:val="clear" w:color="auto" w:fill="FFFFFF"/>
        </w:rPr>
      </w:pPr>
      <w:r>
        <w:rPr>
          <w:rFonts w:ascii="黑体" w:hAnsi="黑体" w:eastAsia="黑体"/>
          <w:sz w:val="32"/>
          <w:szCs w:val="32"/>
          <w:shd w:val="clear" w:color="auto" w:fill="FFFFFF"/>
        </w:rPr>
        <w:t>第十二条</w:t>
      </w:r>
      <w:r>
        <w:rPr>
          <w:sz w:val="32"/>
          <w:szCs w:val="32"/>
          <w:shd w:val="clear" w:color="auto" w:fill="FFFFFF"/>
        </w:rPr>
        <w:t xml:space="preserve">  上级负有安全监管职责的部门发现下列情形的举报事项，可对下级部门进行督办：</w:t>
      </w:r>
    </w:p>
    <w:p>
      <w:pPr>
        <w:autoSpaceDN w:val="0"/>
        <w:spacing w:line="576" w:lineRule="exact"/>
        <w:ind w:firstLine="640" w:firstLineChars="200"/>
        <w:jc w:val="left"/>
        <w:rPr>
          <w:sz w:val="32"/>
          <w:szCs w:val="32"/>
          <w:shd w:val="clear" w:color="auto" w:fill="FFFFFF"/>
        </w:rPr>
      </w:pPr>
      <w:r>
        <w:rPr>
          <w:rFonts w:hint="eastAsia"/>
          <w:sz w:val="32"/>
          <w:szCs w:val="32"/>
          <w:shd w:val="clear" w:color="auto" w:fill="FFFFFF"/>
        </w:rPr>
        <w:t>（一）</w:t>
      </w:r>
      <w:r>
        <w:rPr>
          <w:sz w:val="32"/>
          <w:szCs w:val="32"/>
          <w:shd w:val="clear" w:color="auto" w:fill="FFFFFF"/>
        </w:rPr>
        <w:t>办结后处理决定未得到落实的；</w:t>
      </w:r>
    </w:p>
    <w:p>
      <w:pPr>
        <w:autoSpaceDN w:val="0"/>
        <w:spacing w:line="576" w:lineRule="exact"/>
        <w:ind w:firstLine="640" w:firstLineChars="200"/>
        <w:jc w:val="left"/>
        <w:rPr>
          <w:sz w:val="32"/>
          <w:szCs w:val="32"/>
          <w:shd w:val="clear" w:color="auto" w:fill="FFFFFF"/>
        </w:rPr>
      </w:pPr>
      <w:r>
        <w:rPr>
          <w:rFonts w:hint="eastAsia"/>
          <w:sz w:val="32"/>
          <w:szCs w:val="32"/>
          <w:shd w:val="clear" w:color="auto" w:fill="FFFFFF"/>
        </w:rPr>
        <w:t>（二）</w:t>
      </w:r>
      <w:r>
        <w:rPr>
          <w:sz w:val="32"/>
          <w:szCs w:val="32"/>
          <w:shd w:val="clear" w:color="auto" w:fill="FFFFFF"/>
        </w:rPr>
        <w:t>社会公众和生产经营单位从业人员反复举报的；</w:t>
      </w:r>
    </w:p>
    <w:p>
      <w:pPr>
        <w:autoSpaceDN w:val="0"/>
        <w:spacing w:line="576" w:lineRule="exact"/>
        <w:ind w:firstLine="640" w:firstLineChars="200"/>
        <w:jc w:val="left"/>
        <w:rPr>
          <w:sz w:val="32"/>
          <w:szCs w:val="32"/>
          <w:shd w:val="clear" w:color="auto" w:fill="FFFFFF"/>
        </w:rPr>
      </w:pPr>
      <w:r>
        <w:rPr>
          <w:rFonts w:hint="eastAsia"/>
          <w:sz w:val="32"/>
          <w:szCs w:val="32"/>
          <w:shd w:val="clear" w:color="auto" w:fill="FFFFFF"/>
        </w:rPr>
        <w:t>（三）</w:t>
      </w:r>
      <w:r>
        <w:rPr>
          <w:sz w:val="32"/>
          <w:szCs w:val="32"/>
          <w:shd w:val="clear" w:color="auto" w:fill="FFFFFF"/>
        </w:rPr>
        <w:t>办理时弄虚作假的；</w:t>
      </w:r>
    </w:p>
    <w:p>
      <w:pPr>
        <w:autoSpaceDN w:val="0"/>
        <w:spacing w:line="576" w:lineRule="exact"/>
        <w:ind w:firstLine="640" w:firstLineChars="200"/>
        <w:jc w:val="left"/>
        <w:rPr>
          <w:sz w:val="32"/>
          <w:szCs w:val="32"/>
          <w:shd w:val="clear" w:color="auto" w:fill="FFFFFF"/>
        </w:rPr>
      </w:pPr>
      <w:r>
        <w:rPr>
          <w:rFonts w:hint="eastAsia"/>
          <w:sz w:val="32"/>
          <w:szCs w:val="32"/>
          <w:shd w:val="clear" w:color="auto" w:fill="FFFFFF"/>
        </w:rPr>
        <w:t>（四）</w:t>
      </w:r>
      <w:r>
        <w:rPr>
          <w:sz w:val="32"/>
          <w:szCs w:val="32"/>
          <w:shd w:val="clear" w:color="auto" w:fill="FFFFFF"/>
        </w:rPr>
        <w:t>未按照规定程序办理的；</w:t>
      </w:r>
    </w:p>
    <w:p>
      <w:pPr>
        <w:autoSpaceDN w:val="0"/>
        <w:spacing w:line="576" w:lineRule="exact"/>
        <w:ind w:firstLine="640" w:firstLineChars="200"/>
        <w:jc w:val="left"/>
        <w:rPr>
          <w:sz w:val="32"/>
          <w:szCs w:val="32"/>
          <w:shd w:val="clear" w:color="auto" w:fill="FFFFFF"/>
        </w:rPr>
      </w:pPr>
      <w:r>
        <w:rPr>
          <w:rFonts w:hint="eastAsia"/>
          <w:sz w:val="32"/>
          <w:szCs w:val="32"/>
          <w:shd w:val="clear" w:color="auto" w:fill="FFFFFF"/>
        </w:rPr>
        <w:t>（五）</w:t>
      </w:r>
      <w:r>
        <w:rPr>
          <w:sz w:val="32"/>
          <w:szCs w:val="32"/>
          <w:shd w:val="clear" w:color="auto" w:fill="FFFFFF"/>
        </w:rPr>
        <w:t>泄露举报人信息，举报人受到打击报复的；</w:t>
      </w:r>
    </w:p>
    <w:p>
      <w:pPr>
        <w:autoSpaceDN w:val="0"/>
        <w:spacing w:line="576" w:lineRule="exact"/>
        <w:ind w:firstLine="640" w:firstLineChars="200"/>
        <w:jc w:val="left"/>
        <w:rPr>
          <w:sz w:val="32"/>
          <w:szCs w:val="32"/>
          <w:shd w:val="clear" w:color="auto" w:fill="FFFFFF"/>
        </w:rPr>
      </w:pPr>
      <w:r>
        <w:rPr>
          <w:rFonts w:hint="eastAsia"/>
          <w:sz w:val="32"/>
          <w:szCs w:val="32"/>
          <w:shd w:val="clear" w:color="auto" w:fill="FFFFFF"/>
        </w:rPr>
        <w:t>（六）</w:t>
      </w:r>
      <w:r>
        <w:rPr>
          <w:sz w:val="32"/>
          <w:szCs w:val="32"/>
          <w:shd w:val="clear" w:color="auto" w:fill="FFFFFF"/>
        </w:rPr>
        <w:t>其他需要督办的情形。</w:t>
      </w:r>
    </w:p>
    <w:p>
      <w:pPr>
        <w:autoSpaceDN w:val="0"/>
        <w:spacing w:line="576" w:lineRule="exact"/>
        <w:ind w:firstLine="640" w:firstLineChars="200"/>
        <w:jc w:val="left"/>
        <w:rPr>
          <w:rFonts w:hint="eastAsia"/>
          <w:sz w:val="32"/>
          <w:szCs w:val="32"/>
          <w:shd w:val="clear" w:color="auto" w:fill="FFFFFF"/>
        </w:rPr>
      </w:pPr>
    </w:p>
    <w:p>
      <w:pPr>
        <w:shd w:val="clear" w:color="auto" w:fill="FFFFFF"/>
        <w:autoSpaceDN w:val="0"/>
        <w:spacing w:line="576" w:lineRule="exact"/>
        <w:jc w:val="center"/>
        <w:rPr>
          <w:rFonts w:ascii="黑体" w:hAnsi="黑体" w:eastAsia="黑体"/>
          <w:kern w:val="0"/>
          <w:sz w:val="32"/>
          <w:szCs w:val="32"/>
        </w:rPr>
      </w:pPr>
      <w:r>
        <w:rPr>
          <w:rFonts w:ascii="黑体" w:hAnsi="黑体" w:eastAsia="黑体"/>
          <w:kern w:val="0"/>
          <w:sz w:val="32"/>
          <w:szCs w:val="32"/>
          <w:shd w:val="clear" w:color="auto" w:fill="FFFFFF"/>
        </w:rPr>
        <w:t>第四章  奖励实施</w:t>
      </w:r>
    </w:p>
    <w:p>
      <w:pPr>
        <w:autoSpaceDN w:val="0"/>
        <w:spacing w:line="576" w:lineRule="exact"/>
        <w:ind w:firstLine="640" w:firstLineChars="200"/>
        <w:jc w:val="left"/>
        <w:rPr>
          <w:sz w:val="32"/>
          <w:szCs w:val="32"/>
        </w:rPr>
      </w:pPr>
      <w:r>
        <w:rPr>
          <w:rFonts w:ascii="黑体" w:hAnsi="黑体" w:eastAsia="黑体"/>
          <w:sz w:val="32"/>
          <w:szCs w:val="32"/>
          <w:shd w:val="clear" w:color="auto" w:fill="FFFFFF"/>
        </w:rPr>
        <w:t>第</w:t>
      </w:r>
      <w:r>
        <w:rPr>
          <w:rFonts w:ascii="黑体" w:hAnsi="黑体" w:eastAsia="黑体"/>
          <w:kern w:val="0"/>
          <w:sz w:val="32"/>
          <w:szCs w:val="32"/>
          <w:shd w:val="clear" w:color="auto" w:fill="FFFFFF"/>
          <w:lang w:bidi="ar"/>
        </w:rPr>
        <w:t>十</w:t>
      </w:r>
      <w:r>
        <w:rPr>
          <w:rFonts w:ascii="黑体" w:hAnsi="黑体" w:eastAsia="黑体"/>
          <w:kern w:val="0"/>
          <w:sz w:val="32"/>
          <w:szCs w:val="32"/>
          <w:shd w:val="clear" w:color="auto" w:fill="FFFFFF"/>
          <w:lang w:eastAsia="zh-Hans" w:bidi="ar"/>
        </w:rPr>
        <w:t>三</w:t>
      </w:r>
      <w:r>
        <w:rPr>
          <w:rFonts w:ascii="黑体" w:hAnsi="黑体" w:eastAsia="黑体"/>
          <w:kern w:val="0"/>
          <w:sz w:val="32"/>
          <w:szCs w:val="32"/>
          <w:shd w:val="clear" w:color="auto" w:fill="FFFFFF"/>
          <w:lang w:bidi="ar"/>
        </w:rPr>
        <w:t>条</w:t>
      </w:r>
      <w:r>
        <w:rPr>
          <w:kern w:val="0"/>
          <w:sz w:val="32"/>
          <w:szCs w:val="32"/>
          <w:shd w:val="clear" w:color="auto" w:fill="FFFFFF"/>
          <w:lang w:bidi="ar"/>
        </w:rPr>
        <w:t xml:space="preserve">  举报奖励由核查处理的部门实施。办理部门应当在举报事项核查处理结束后，对举报事实、奖励条件和奖励金额予以认定，填写《遂宁市安全生产举报奖励金审批表》,并将办理结果及时通知举报人。</w:t>
      </w:r>
    </w:p>
    <w:p>
      <w:pPr>
        <w:autoSpaceDN w:val="0"/>
        <w:spacing w:line="576" w:lineRule="exact"/>
        <w:ind w:firstLine="640" w:firstLineChars="200"/>
        <w:jc w:val="left"/>
        <w:rPr>
          <w:sz w:val="32"/>
          <w:szCs w:val="32"/>
          <w:shd w:val="clear" w:color="auto" w:fill="FFFFFF"/>
        </w:rPr>
      </w:pPr>
      <w:r>
        <w:rPr>
          <w:rFonts w:ascii="黑体" w:hAnsi="黑体" w:eastAsia="黑体"/>
          <w:sz w:val="32"/>
          <w:szCs w:val="32"/>
          <w:shd w:val="clear" w:color="auto" w:fill="FFFFFF"/>
        </w:rPr>
        <w:t>第十</w:t>
      </w:r>
      <w:r>
        <w:rPr>
          <w:rFonts w:ascii="黑体" w:hAnsi="黑体" w:eastAsia="黑体"/>
          <w:sz w:val="32"/>
          <w:szCs w:val="32"/>
          <w:shd w:val="clear" w:color="auto" w:fill="FFFFFF"/>
          <w:lang w:eastAsia="zh-Hans"/>
        </w:rPr>
        <w:t>四</w:t>
      </w:r>
      <w:r>
        <w:rPr>
          <w:rFonts w:ascii="黑体" w:hAnsi="黑体" w:eastAsia="黑体"/>
          <w:sz w:val="32"/>
          <w:szCs w:val="32"/>
          <w:shd w:val="clear" w:color="auto" w:fill="FFFFFF"/>
        </w:rPr>
        <w:t>条</w:t>
      </w:r>
      <w:r>
        <w:rPr>
          <w:sz w:val="32"/>
          <w:szCs w:val="32"/>
          <w:shd w:val="clear" w:color="auto" w:fill="FFFFFF"/>
        </w:rPr>
        <w:t xml:space="preserve">  多人多次举报同一事项的，由最先受理举报的负有安全生产监督管理职责的部门办理举报事项，按本办法规定给予有功的实名举报人一次性奖励。</w:t>
      </w:r>
    </w:p>
    <w:p>
      <w:pPr>
        <w:autoSpaceDN w:val="0"/>
        <w:spacing w:line="576" w:lineRule="exact"/>
        <w:ind w:firstLine="640" w:firstLineChars="200"/>
        <w:jc w:val="left"/>
        <w:rPr>
          <w:sz w:val="32"/>
          <w:szCs w:val="32"/>
          <w:shd w:val="clear" w:color="auto" w:fill="FFFFFF"/>
        </w:rPr>
      </w:pPr>
      <w:r>
        <w:rPr>
          <w:sz w:val="32"/>
          <w:szCs w:val="32"/>
          <w:shd w:val="clear" w:color="auto" w:fill="FFFFFF"/>
        </w:rPr>
        <w:t>多人联名举报同一事项的，由实名举报的第一署名人或第一署名人书面委托的其他署名人领取奖金。</w:t>
      </w:r>
      <w:r>
        <w:rPr>
          <w:color w:val="000000"/>
          <w:sz w:val="32"/>
          <w:szCs w:val="32"/>
          <w:shd w:val="clear" w:color="auto" w:fill="FFFFFF"/>
        </w:rPr>
        <w:t>以单位或组织名义举报的，奖励资金发给举报单位或组织。</w:t>
      </w:r>
    </w:p>
    <w:p>
      <w:pPr>
        <w:autoSpaceDN w:val="0"/>
        <w:spacing w:line="576" w:lineRule="exact"/>
        <w:ind w:firstLine="640" w:firstLineChars="200"/>
        <w:rPr>
          <w:sz w:val="32"/>
          <w:szCs w:val="32"/>
        </w:rPr>
      </w:pPr>
      <w:r>
        <w:rPr>
          <w:sz w:val="32"/>
          <w:szCs w:val="32"/>
          <w:shd w:val="clear" w:color="auto" w:fill="FFFFFF"/>
        </w:rPr>
        <w:t>同一举报事项，不重复奖励。</w:t>
      </w:r>
    </w:p>
    <w:p>
      <w:pPr>
        <w:shd w:val="clear" w:color="auto" w:fill="FFFFFF"/>
        <w:autoSpaceDN w:val="0"/>
        <w:spacing w:line="576" w:lineRule="exact"/>
        <w:ind w:firstLine="640" w:firstLineChars="200"/>
        <w:rPr>
          <w:kern w:val="0"/>
          <w:sz w:val="32"/>
          <w:szCs w:val="32"/>
        </w:rPr>
      </w:pPr>
      <w:r>
        <w:rPr>
          <w:rFonts w:ascii="黑体" w:hAnsi="黑体" w:eastAsia="黑体"/>
          <w:kern w:val="0"/>
          <w:sz w:val="32"/>
          <w:szCs w:val="32"/>
          <w:shd w:val="clear" w:color="auto" w:fill="FFFFFF"/>
        </w:rPr>
        <w:t>第十</w:t>
      </w:r>
      <w:r>
        <w:rPr>
          <w:rFonts w:ascii="黑体" w:hAnsi="黑体" w:eastAsia="黑体"/>
          <w:kern w:val="0"/>
          <w:sz w:val="32"/>
          <w:szCs w:val="32"/>
          <w:shd w:val="clear" w:color="auto" w:fill="FFFFFF"/>
          <w:lang w:eastAsia="zh-Hans"/>
        </w:rPr>
        <w:t>五</w:t>
      </w:r>
      <w:r>
        <w:rPr>
          <w:rFonts w:ascii="黑体" w:hAnsi="黑体" w:eastAsia="黑体"/>
          <w:kern w:val="0"/>
          <w:sz w:val="32"/>
          <w:szCs w:val="32"/>
          <w:shd w:val="clear" w:color="auto" w:fill="FFFFFF"/>
        </w:rPr>
        <w:t>条</w:t>
      </w:r>
      <w:r>
        <w:rPr>
          <w:kern w:val="0"/>
          <w:sz w:val="32"/>
          <w:szCs w:val="32"/>
          <w:shd w:val="clear" w:color="auto" w:fill="FFFFFF"/>
        </w:rPr>
        <w:t xml:space="preserve">  举报人接到领奖通知后，应当在60日内凭举报人有效证件到指定地点领取奖金；无法通知举报人的，受理举报的负有安全生产监督管理职责的部门可以在一定范围内进行公告。逾期未领取奖金者，视为放弃领奖权利；能够说明理由的，可以适当延长领取时间，但最长不超过30日。</w:t>
      </w:r>
    </w:p>
    <w:p>
      <w:pPr>
        <w:autoSpaceDN w:val="0"/>
        <w:spacing w:line="576" w:lineRule="exact"/>
        <w:ind w:firstLine="640" w:firstLineChars="200"/>
        <w:jc w:val="left"/>
        <w:rPr>
          <w:kern w:val="0"/>
          <w:sz w:val="32"/>
          <w:szCs w:val="32"/>
          <w:shd w:val="clear" w:color="auto" w:fill="FFFFFF"/>
          <w:lang w:bidi="ar"/>
        </w:rPr>
      </w:pPr>
      <w:r>
        <w:rPr>
          <w:rFonts w:ascii="黑体" w:hAnsi="黑体" w:eastAsia="黑体"/>
          <w:kern w:val="0"/>
          <w:sz w:val="32"/>
          <w:szCs w:val="32"/>
          <w:shd w:val="clear" w:color="auto" w:fill="FFFFFF"/>
          <w:lang w:bidi="ar"/>
        </w:rPr>
        <w:t>第十</w:t>
      </w:r>
      <w:r>
        <w:rPr>
          <w:rFonts w:ascii="黑体" w:hAnsi="黑体" w:eastAsia="黑体"/>
          <w:kern w:val="0"/>
          <w:sz w:val="32"/>
          <w:szCs w:val="32"/>
          <w:shd w:val="clear" w:color="auto" w:fill="FFFFFF"/>
          <w:lang w:eastAsia="zh-Hans" w:bidi="ar"/>
        </w:rPr>
        <w:t>六</w:t>
      </w:r>
      <w:r>
        <w:rPr>
          <w:rFonts w:ascii="黑体" w:hAnsi="黑体" w:eastAsia="黑体"/>
          <w:kern w:val="0"/>
          <w:sz w:val="32"/>
          <w:szCs w:val="32"/>
          <w:shd w:val="clear" w:color="auto" w:fill="FFFFFF"/>
          <w:lang w:bidi="ar"/>
        </w:rPr>
        <w:t>条</w:t>
      </w:r>
      <w:r>
        <w:rPr>
          <w:kern w:val="0"/>
          <w:sz w:val="32"/>
          <w:szCs w:val="32"/>
          <w:shd w:val="clear" w:color="auto" w:fill="FFFFFF"/>
          <w:lang w:bidi="ar"/>
        </w:rPr>
        <w:t xml:space="preserve">  对举报人发放的奖金，按以下方式办理：</w:t>
      </w:r>
    </w:p>
    <w:p>
      <w:pPr>
        <w:autoSpaceDN w:val="0"/>
        <w:spacing w:line="576" w:lineRule="exact"/>
        <w:ind w:firstLine="640" w:firstLineChars="200"/>
        <w:jc w:val="left"/>
        <w:rPr>
          <w:sz w:val="32"/>
          <w:szCs w:val="32"/>
          <w:shd w:val="clear" w:color="auto" w:fill="FFFFFF"/>
        </w:rPr>
      </w:pPr>
      <w:r>
        <w:rPr>
          <w:sz w:val="32"/>
          <w:szCs w:val="32"/>
          <w:shd w:val="clear" w:color="auto" w:fill="FFFFFF"/>
        </w:rPr>
        <w:t>（一）举报人自愿到场领取奖金的，按程序审核，并核对领款人身份，由受理查处举报的负有安全生产监督管理</w:t>
      </w:r>
      <w:r>
        <w:rPr>
          <w:sz w:val="32"/>
          <w:szCs w:val="32"/>
          <w:shd w:val="clear" w:color="auto" w:fill="FFFFFF"/>
          <w:lang w:eastAsia="zh-Hans"/>
        </w:rPr>
        <w:t>职责的</w:t>
      </w:r>
      <w:r>
        <w:rPr>
          <w:sz w:val="32"/>
          <w:szCs w:val="32"/>
          <w:shd w:val="clear" w:color="auto" w:fill="FFFFFF"/>
        </w:rPr>
        <w:t>部门向领款人发放奖金。</w:t>
      </w:r>
    </w:p>
    <w:p>
      <w:pPr>
        <w:autoSpaceDN w:val="0"/>
        <w:spacing w:line="576" w:lineRule="exact"/>
        <w:ind w:firstLine="640" w:firstLineChars="200"/>
        <w:rPr>
          <w:sz w:val="32"/>
          <w:szCs w:val="32"/>
          <w:shd w:val="clear" w:color="auto" w:fill="FFFFFF"/>
        </w:rPr>
      </w:pPr>
      <w:r>
        <w:rPr>
          <w:sz w:val="32"/>
          <w:szCs w:val="32"/>
          <w:shd w:val="clear" w:color="auto" w:fill="FFFFFF"/>
        </w:rPr>
        <w:t>（二）举报人不愿意到场领取奖金的，由举报人以书信方式向受理案件的负有安全生产监督管理职责的部门指定个人银行账户作为收款账号。受理案件的负有安全生产监督管理职责的部门拟出书面说明，注明举报人电话号码、提供的指定账号及具体日期等事项，经有审批权限领导审核后，由</w:t>
      </w:r>
      <w:r>
        <w:rPr>
          <w:sz w:val="32"/>
          <w:szCs w:val="32"/>
          <w:shd w:val="clear" w:color="auto" w:fill="FFFFFF"/>
          <w:lang w:eastAsia="zh-Hans"/>
        </w:rPr>
        <w:t>负有</w:t>
      </w:r>
      <w:r>
        <w:rPr>
          <w:sz w:val="32"/>
          <w:szCs w:val="32"/>
          <w:shd w:val="clear" w:color="auto" w:fill="FFFFFF"/>
        </w:rPr>
        <w:t>安全生产监督管理</w:t>
      </w:r>
      <w:r>
        <w:rPr>
          <w:sz w:val="32"/>
          <w:szCs w:val="32"/>
          <w:shd w:val="clear" w:color="auto" w:fill="FFFFFF"/>
          <w:lang w:eastAsia="zh-Hans"/>
        </w:rPr>
        <w:t>职责</w:t>
      </w:r>
      <w:r>
        <w:rPr>
          <w:sz w:val="32"/>
          <w:szCs w:val="32"/>
          <w:shd w:val="clear" w:color="auto" w:fill="FFFFFF"/>
        </w:rPr>
        <w:t>部门财务人员直接向举报人指定个人银行账户存入奖金。</w:t>
      </w:r>
    </w:p>
    <w:p>
      <w:pPr>
        <w:autoSpaceDN w:val="0"/>
        <w:spacing w:line="576" w:lineRule="exact"/>
        <w:ind w:firstLine="640" w:firstLineChars="200"/>
        <w:rPr>
          <w:sz w:val="32"/>
          <w:szCs w:val="32"/>
          <w:shd w:val="clear" w:color="auto" w:fill="FFFFFF"/>
        </w:rPr>
      </w:pPr>
      <w:r>
        <w:rPr>
          <w:sz w:val="32"/>
          <w:szCs w:val="32"/>
          <w:shd w:val="clear" w:color="auto" w:fill="FFFFFF"/>
        </w:rPr>
        <w:t>（</w:t>
      </w:r>
      <w:r>
        <w:rPr>
          <w:sz w:val="32"/>
          <w:szCs w:val="32"/>
          <w:shd w:val="clear" w:color="auto" w:fill="FFFFFF"/>
          <w:lang w:eastAsia="zh-Hans"/>
        </w:rPr>
        <w:t>三</w:t>
      </w:r>
      <w:r>
        <w:rPr>
          <w:sz w:val="32"/>
          <w:szCs w:val="32"/>
          <w:shd w:val="clear" w:color="auto" w:fill="FFFFFF"/>
        </w:rPr>
        <w:t>）匿名举报人有奖励诉求的，应当在举报的同时提出能够辨识其身份的信息作为身份代码，并与举报接收部门约定举报处理结果和奖励领取的告知方式。</w:t>
      </w:r>
    </w:p>
    <w:p>
      <w:pPr>
        <w:autoSpaceDN w:val="0"/>
        <w:spacing w:line="576" w:lineRule="exact"/>
        <w:ind w:firstLine="640" w:firstLineChars="200"/>
        <w:rPr>
          <w:sz w:val="32"/>
          <w:szCs w:val="32"/>
          <w:shd w:val="clear" w:color="auto" w:fill="FFFFFF"/>
        </w:rPr>
      </w:pPr>
      <w:r>
        <w:rPr>
          <w:sz w:val="32"/>
          <w:szCs w:val="32"/>
          <w:shd w:val="clear" w:color="auto" w:fill="FFFFFF"/>
        </w:rPr>
        <w:t>（四）生产经营单位从业人员举报本单位重大事故隐患和安全生产违法行为的，应提供签订的有效劳动合同等可以证明其生产经营单位从业人员身份的材料。生产经营单位从业人员家属举报本单位重大事故隐患和安全生产违法行为的，应提供户口簿复印件或其他能证明家属关系的材料，方可按照本办法第九条规定领取奖金。</w:t>
      </w:r>
    </w:p>
    <w:p>
      <w:pPr>
        <w:autoSpaceDN w:val="0"/>
        <w:spacing w:line="576" w:lineRule="exact"/>
        <w:ind w:firstLine="640" w:firstLineChars="200"/>
        <w:rPr>
          <w:rFonts w:hint="eastAsia"/>
          <w:sz w:val="32"/>
          <w:szCs w:val="32"/>
          <w:shd w:val="clear" w:color="auto" w:fill="FFFFFF"/>
        </w:rPr>
      </w:pPr>
    </w:p>
    <w:p>
      <w:pPr>
        <w:shd w:val="clear" w:color="auto" w:fill="FFFFFF"/>
        <w:autoSpaceDN w:val="0"/>
        <w:spacing w:line="576" w:lineRule="exact"/>
        <w:jc w:val="center"/>
        <w:rPr>
          <w:rFonts w:ascii="黑体" w:hAnsi="黑体" w:eastAsia="黑体"/>
          <w:kern w:val="0"/>
          <w:sz w:val="32"/>
          <w:szCs w:val="32"/>
          <w:shd w:val="clear" w:color="auto" w:fill="FFFFFF"/>
        </w:rPr>
      </w:pPr>
      <w:r>
        <w:rPr>
          <w:rFonts w:ascii="黑体" w:hAnsi="黑体" w:eastAsia="黑体"/>
          <w:kern w:val="0"/>
          <w:sz w:val="32"/>
          <w:szCs w:val="32"/>
          <w:shd w:val="clear" w:color="auto" w:fill="FFFFFF"/>
        </w:rPr>
        <w:t>第五章</w:t>
      </w:r>
      <w:r>
        <w:rPr>
          <w:rFonts w:ascii="Calibri" w:hAnsi="Calibri" w:eastAsia="黑体" w:cs="Calibri"/>
          <w:kern w:val="0"/>
          <w:sz w:val="32"/>
          <w:szCs w:val="32"/>
          <w:shd w:val="clear" w:color="auto" w:fill="FFFFFF"/>
        </w:rPr>
        <w:t> </w:t>
      </w:r>
      <w:r>
        <w:rPr>
          <w:rFonts w:ascii="黑体" w:hAnsi="黑体" w:eastAsia="黑体"/>
          <w:kern w:val="0"/>
          <w:sz w:val="32"/>
          <w:szCs w:val="32"/>
          <w:shd w:val="clear" w:color="auto" w:fill="FFFFFF"/>
        </w:rPr>
        <w:t>举报人及举报处理人的义务和责任</w:t>
      </w:r>
    </w:p>
    <w:p>
      <w:pPr>
        <w:numPr>
          <w:ilvl w:val="0"/>
          <w:numId w:val="0"/>
        </w:numPr>
        <w:autoSpaceDN w:val="0"/>
        <w:spacing w:line="576" w:lineRule="exact"/>
        <w:ind w:firstLine="640" w:firstLineChars="200"/>
        <w:rPr>
          <w:sz w:val="32"/>
          <w:szCs w:val="32"/>
          <w:shd w:val="clear" w:color="auto" w:fill="FFFFFF"/>
        </w:rPr>
      </w:pPr>
      <w:r>
        <w:rPr>
          <w:rFonts w:ascii="黑体" w:hAnsi="黑体" w:eastAsia="黑体"/>
          <w:sz w:val="32"/>
          <w:szCs w:val="32"/>
          <w:shd w:val="clear" w:color="auto" w:fill="FFFFFF"/>
        </w:rPr>
        <w:t>第十七条</w:t>
      </w:r>
      <w:r>
        <w:rPr>
          <w:sz w:val="32"/>
          <w:szCs w:val="32"/>
          <w:shd w:val="clear" w:color="auto" w:fill="FFFFFF"/>
        </w:rPr>
        <w:t xml:space="preserve">  任何单位和个人不得以任何借口阻拦、压制举报人的举报和打击报复举报人。参与举报处理工作的人员不得泄露举报人员相关信息，依法保护举报人的合法权益。</w:t>
      </w:r>
    </w:p>
    <w:p>
      <w:pPr>
        <w:numPr>
          <w:ilvl w:val="0"/>
          <w:numId w:val="0"/>
        </w:numPr>
        <w:autoSpaceDN w:val="0"/>
        <w:spacing w:line="576" w:lineRule="exact"/>
        <w:ind w:firstLine="640" w:firstLineChars="200"/>
        <w:rPr>
          <w:sz w:val="32"/>
          <w:szCs w:val="32"/>
          <w:shd w:val="clear" w:color="auto" w:fill="FFFFFF"/>
        </w:rPr>
      </w:pPr>
      <w:r>
        <w:rPr>
          <w:rFonts w:ascii="黑体" w:hAnsi="黑体" w:eastAsia="黑体"/>
          <w:sz w:val="32"/>
          <w:szCs w:val="32"/>
          <w:shd w:val="clear" w:color="auto" w:fill="FFFFFF"/>
        </w:rPr>
        <w:t>第十八条</w:t>
      </w:r>
      <w:r>
        <w:rPr>
          <w:sz w:val="32"/>
          <w:szCs w:val="32"/>
          <w:shd w:val="clear" w:color="auto" w:fill="FFFFFF"/>
        </w:rPr>
        <w:t xml:space="preserve">  举报人应当提供真实有效的联系方式，鼓励实名举报，以备核查过程中了解举报线索、反馈结果和发放奖励。</w:t>
      </w:r>
    </w:p>
    <w:p>
      <w:pPr>
        <w:numPr>
          <w:ilvl w:val="0"/>
          <w:numId w:val="0"/>
        </w:numPr>
        <w:autoSpaceDN w:val="0"/>
        <w:spacing w:line="576" w:lineRule="exact"/>
        <w:ind w:firstLine="640" w:firstLineChars="200"/>
        <w:rPr>
          <w:sz w:val="32"/>
          <w:szCs w:val="32"/>
          <w:shd w:val="clear" w:color="auto" w:fill="FFFFFF"/>
        </w:rPr>
      </w:pPr>
      <w:r>
        <w:rPr>
          <w:sz w:val="32"/>
          <w:szCs w:val="32"/>
          <w:shd w:val="clear" w:color="auto" w:fill="FFFFFF"/>
        </w:rPr>
        <w:t>举报人应对举报事项的真实性负责，不得捏造、歪曲事实，不得诬告、陷害他人。举报事项应包括明确的被举报对象、具体的重大事故隐患和安全生产违法行为等内容。对借举报之名故意捏造事实诬告他人或者进行不正当竞争的，依法追究相应的法律责任。</w:t>
      </w:r>
    </w:p>
    <w:p>
      <w:pPr>
        <w:autoSpaceDN w:val="0"/>
        <w:spacing w:line="576" w:lineRule="exact"/>
        <w:ind w:firstLine="640" w:firstLineChars="200"/>
        <w:rPr>
          <w:sz w:val="32"/>
          <w:szCs w:val="32"/>
          <w:shd w:val="clear" w:color="auto" w:fill="FFFFFF"/>
        </w:rPr>
      </w:pPr>
      <w:r>
        <w:rPr>
          <w:rFonts w:ascii="黑体" w:hAnsi="黑体" w:eastAsia="黑体"/>
          <w:sz w:val="32"/>
          <w:szCs w:val="32"/>
          <w:shd w:val="clear" w:color="auto" w:fill="FFFFFF"/>
        </w:rPr>
        <w:t>第十九条</w:t>
      </w:r>
      <w:r>
        <w:rPr>
          <w:sz w:val="32"/>
          <w:szCs w:val="32"/>
          <w:shd w:val="clear" w:color="auto" w:fill="FFFFFF"/>
        </w:rPr>
        <w:t xml:space="preserve">  参与举报处理工作的人员必须严格遵守保密纪律，妥善保管和使用举报材料，不得私自摘抄、复制、扣压、销毁。举报件中涉及国家秘密的，应按保密制度要求定密处理。</w:t>
      </w:r>
    </w:p>
    <w:p>
      <w:pPr>
        <w:autoSpaceDN w:val="0"/>
        <w:spacing w:line="576" w:lineRule="exact"/>
        <w:ind w:firstLine="640" w:firstLineChars="200"/>
        <w:rPr>
          <w:sz w:val="32"/>
          <w:szCs w:val="32"/>
          <w:shd w:val="clear" w:color="auto" w:fill="FFFFFF"/>
        </w:rPr>
      </w:pPr>
      <w:r>
        <w:rPr>
          <w:rFonts w:hint="eastAsia"/>
          <w:sz w:val="32"/>
          <w:szCs w:val="32"/>
          <w:shd w:val="clear" w:color="auto" w:fill="FFFFFF"/>
        </w:rPr>
        <w:t>宣传报道举报奖励时，未经举报人同意，不得公开举报人的姓名、工作单位。</w:t>
      </w:r>
    </w:p>
    <w:p>
      <w:pPr>
        <w:autoSpaceDN w:val="0"/>
        <w:spacing w:line="576" w:lineRule="exact"/>
        <w:ind w:firstLine="640" w:firstLineChars="200"/>
        <w:rPr>
          <w:sz w:val="32"/>
          <w:szCs w:val="32"/>
          <w:shd w:val="clear" w:color="auto" w:fill="FFFFFF"/>
        </w:rPr>
      </w:pPr>
      <w:r>
        <w:rPr>
          <w:sz w:val="32"/>
          <w:szCs w:val="32"/>
          <w:shd w:val="clear" w:color="auto" w:fill="FFFFFF"/>
        </w:rPr>
        <w:t>涉及商业秘密、个人隐私等信息，确需公开的，依照《中华人民共和国政府信息公开条例》等有关规定执行。</w:t>
      </w:r>
    </w:p>
    <w:p>
      <w:pPr>
        <w:autoSpaceDN w:val="0"/>
        <w:spacing w:line="576" w:lineRule="exact"/>
        <w:ind w:firstLine="640" w:firstLineChars="200"/>
        <w:rPr>
          <w:rFonts w:hint="eastAsia"/>
          <w:sz w:val="32"/>
          <w:szCs w:val="32"/>
          <w:shd w:val="clear" w:color="auto" w:fill="FFFFFF"/>
        </w:rPr>
      </w:pPr>
    </w:p>
    <w:p>
      <w:pPr>
        <w:shd w:val="clear" w:color="auto" w:fill="FFFFFF"/>
        <w:autoSpaceDN w:val="0"/>
        <w:spacing w:line="576" w:lineRule="exact"/>
        <w:jc w:val="center"/>
        <w:rPr>
          <w:rFonts w:ascii="黑体" w:hAnsi="黑体" w:eastAsia="黑体"/>
          <w:kern w:val="0"/>
          <w:sz w:val="32"/>
          <w:szCs w:val="32"/>
          <w:shd w:val="clear" w:color="auto" w:fill="FFFFFF"/>
        </w:rPr>
      </w:pPr>
      <w:r>
        <w:rPr>
          <w:rFonts w:ascii="黑体" w:hAnsi="黑体" w:eastAsia="黑体"/>
          <w:kern w:val="0"/>
          <w:sz w:val="32"/>
          <w:szCs w:val="32"/>
          <w:shd w:val="clear" w:color="auto" w:fill="FFFFFF"/>
        </w:rPr>
        <w:t>第六章  附则</w:t>
      </w:r>
    </w:p>
    <w:p>
      <w:pPr>
        <w:shd w:val="clear" w:color="auto" w:fill="FFFFFF"/>
        <w:autoSpaceDN w:val="0"/>
        <w:spacing w:line="576" w:lineRule="exact"/>
        <w:ind w:firstLine="640" w:firstLineChars="200"/>
        <w:rPr>
          <w:kern w:val="0"/>
          <w:sz w:val="32"/>
          <w:szCs w:val="32"/>
          <w:shd w:val="clear" w:color="auto" w:fill="FFFFFF"/>
        </w:rPr>
      </w:pPr>
      <w:r>
        <w:rPr>
          <w:rFonts w:ascii="黑体" w:hAnsi="黑体" w:eastAsia="黑体"/>
          <w:sz w:val="32"/>
          <w:szCs w:val="32"/>
          <w:shd w:val="clear" w:color="auto" w:fill="FFFFFF"/>
        </w:rPr>
        <w:t>第二十条</w:t>
      </w:r>
      <w:r>
        <w:rPr>
          <w:kern w:val="0"/>
          <w:sz w:val="32"/>
          <w:szCs w:val="32"/>
          <w:shd w:val="clear" w:color="auto" w:fill="FFFFFF"/>
        </w:rPr>
        <w:t xml:space="preserve">  本办法所称“以上”包含本数，“以下”不包含本数。</w:t>
      </w:r>
    </w:p>
    <w:p>
      <w:pPr>
        <w:shd w:val="clear" w:color="auto" w:fill="FFFFFF"/>
        <w:autoSpaceDN w:val="0"/>
        <w:spacing w:line="576" w:lineRule="exact"/>
        <w:ind w:firstLine="640" w:firstLineChars="200"/>
        <w:rPr>
          <w:kern w:val="0"/>
          <w:sz w:val="32"/>
          <w:szCs w:val="32"/>
          <w:shd w:val="clear" w:color="auto" w:fill="FFFFFF"/>
        </w:rPr>
      </w:pPr>
      <w:r>
        <w:rPr>
          <w:rFonts w:ascii="黑体" w:hAnsi="黑体" w:eastAsia="黑体"/>
          <w:sz w:val="32"/>
          <w:szCs w:val="32"/>
          <w:shd w:val="clear" w:color="auto" w:fill="FFFFFF"/>
        </w:rPr>
        <w:t>第二十一条</w:t>
      </w:r>
      <w:r>
        <w:rPr>
          <w:kern w:val="0"/>
          <w:sz w:val="32"/>
          <w:szCs w:val="32"/>
          <w:shd w:val="clear" w:color="auto" w:fill="FFFFFF"/>
          <w:lang w:eastAsia="zh-Hans"/>
        </w:rPr>
        <w:t xml:space="preserve"> </w:t>
      </w:r>
      <w:r>
        <w:rPr>
          <w:kern w:val="0"/>
          <w:sz w:val="32"/>
          <w:szCs w:val="32"/>
          <w:shd w:val="clear" w:color="auto" w:fill="FFFFFF"/>
        </w:rPr>
        <w:t xml:space="preserve"> 本办法所称的实名举报，是指举报人提供真实姓名和真实有效联系方式的检举、揭发行为。</w:t>
      </w:r>
    </w:p>
    <w:p>
      <w:pPr>
        <w:shd w:val="clear" w:color="auto" w:fill="FFFFFF"/>
        <w:autoSpaceDN w:val="0"/>
        <w:spacing w:line="576" w:lineRule="exact"/>
        <w:ind w:firstLine="640" w:firstLineChars="200"/>
        <w:rPr>
          <w:kern w:val="0"/>
          <w:sz w:val="32"/>
          <w:szCs w:val="32"/>
          <w:shd w:val="clear" w:color="auto" w:fill="FFFFFF"/>
        </w:rPr>
      </w:pPr>
      <w:r>
        <w:rPr>
          <w:rFonts w:ascii="黑体" w:hAnsi="黑体" w:eastAsia="黑体"/>
          <w:sz w:val="32"/>
          <w:szCs w:val="32"/>
          <w:shd w:val="clear" w:color="auto" w:fill="FFFFFF"/>
        </w:rPr>
        <w:t>第二十二条</w:t>
      </w:r>
      <w:r>
        <w:rPr>
          <w:kern w:val="0"/>
          <w:sz w:val="32"/>
          <w:szCs w:val="32"/>
          <w:shd w:val="clear" w:color="auto" w:fill="FFFFFF"/>
        </w:rPr>
        <w:t xml:space="preserve">  本办法所称的匿名举报，是指举报人不提供真实姓名，但提供其他能够辨别其身份的信息及有效联系方式，使有关部门事后能确认其举报人身份的检举、揭发行为。</w:t>
      </w:r>
    </w:p>
    <w:p>
      <w:pPr>
        <w:shd w:val="clear" w:color="auto" w:fill="FFFFFF"/>
        <w:autoSpaceDN w:val="0"/>
        <w:spacing w:line="576" w:lineRule="exact"/>
        <w:ind w:firstLine="640" w:firstLineChars="200"/>
        <w:rPr>
          <w:kern w:val="0"/>
          <w:sz w:val="32"/>
          <w:szCs w:val="32"/>
          <w:shd w:val="clear" w:color="auto" w:fill="FFFFFF"/>
        </w:rPr>
      </w:pPr>
      <w:r>
        <w:rPr>
          <w:rFonts w:ascii="黑体" w:hAnsi="黑体" w:eastAsia="黑体"/>
          <w:sz w:val="32"/>
          <w:szCs w:val="32"/>
          <w:shd w:val="clear" w:color="auto" w:fill="FFFFFF"/>
        </w:rPr>
        <w:t>第二十三条</w:t>
      </w:r>
      <w:r>
        <w:rPr>
          <w:kern w:val="0"/>
          <w:sz w:val="32"/>
          <w:szCs w:val="32"/>
          <w:shd w:val="clear" w:color="auto" w:fill="FFFFFF"/>
        </w:rPr>
        <w:t xml:space="preserve">  各</w:t>
      </w:r>
      <w:r>
        <w:rPr>
          <w:kern w:val="0"/>
          <w:sz w:val="32"/>
          <w:szCs w:val="32"/>
          <w:shd w:val="clear" w:color="auto" w:fill="FFFFFF"/>
          <w:lang w:eastAsia="zh-Hans"/>
        </w:rPr>
        <w:t>县（市、区）、市直园区</w:t>
      </w:r>
      <w:r>
        <w:rPr>
          <w:kern w:val="0"/>
          <w:sz w:val="32"/>
          <w:szCs w:val="32"/>
          <w:shd w:val="clear" w:color="auto" w:fill="FFFFFF"/>
        </w:rPr>
        <w:t>可以结合实际制定具体实施办法。</w:t>
      </w:r>
    </w:p>
    <w:p>
      <w:pPr>
        <w:shd w:val="clear" w:color="auto" w:fill="FFFFFF"/>
        <w:autoSpaceDN w:val="0"/>
        <w:spacing w:line="576" w:lineRule="exact"/>
        <w:ind w:firstLine="640" w:firstLineChars="200"/>
        <w:rPr>
          <w:kern w:val="0"/>
          <w:sz w:val="32"/>
          <w:szCs w:val="32"/>
          <w:shd w:val="clear" w:color="auto" w:fill="FFFFFF"/>
        </w:rPr>
      </w:pPr>
      <w:r>
        <w:rPr>
          <w:rFonts w:ascii="黑体" w:hAnsi="黑体" w:eastAsia="黑体"/>
          <w:sz w:val="32"/>
          <w:szCs w:val="32"/>
          <w:shd w:val="clear" w:color="auto" w:fill="FFFFFF"/>
        </w:rPr>
        <w:t>第二十四条</w:t>
      </w:r>
      <w:r>
        <w:rPr>
          <w:kern w:val="0"/>
          <w:sz w:val="32"/>
          <w:szCs w:val="32"/>
          <w:shd w:val="clear" w:color="auto" w:fill="FFFFFF"/>
        </w:rPr>
        <w:t xml:space="preserve">  本办法自2024年  月  日起施行，有效期5年。《遂宁市人民政府办公室关于印发遂宁市安全生产领域举报奖励办法的通知》（遂府办函〔2019〕1号）同时废止。</w:t>
      </w:r>
    </w:p>
    <w:p>
      <w:pPr>
        <w:shd w:val="clear" w:color="auto" w:fill="FFFFFF"/>
        <w:autoSpaceDN w:val="0"/>
        <w:spacing w:line="576" w:lineRule="exact"/>
        <w:jc w:val="left"/>
        <w:rPr>
          <w:kern w:val="0"/>
          <w:sz w:val="32"/>
          <w:szCs w:val="32"/>
          <w:shd w:val="clear" w:color="auto" w:fill="FFFFFF"/>
        </w:rPr>
      </w:pPr>
    </w:p>
    <w:p>
      <w:pPr>
        <w:shd w:val="clear" w:color="auto" w:fill="FFFFFF"/>
        <w:autoSpaceDN w:val="0"/>
        <w:spacing w:line="576" w:lineRule="exact"/>
        <w:ind w:firstLine="640" w:firstLineChars="200"/>
        <w:jc w:val="left"/>
        <w:rPr>
          <w:b/>
          <w:bCs/>
          <w:spacing w:val="-18"/>
          <w:kern w:val="0"/>
          <w:sz w:val="32"/>
          <w:szCs w:val="32"/>
        </w:rPr>
      </w:pPr>
      <w:r>
        <w:rPr>
          <w:kern w:val="0"/>
          <w:sz w:val="32"/>
          <w:szCs w:val="32"/>
          <w:shd w:val="clear" w:color="auto" w:fill="FFFFFF"/>
        </w:rPr>
        <w:t>附件：遂宁市安全生产举报奖励金审批表</w:t>
      </w:r>
    </w:p>
    <w:p>
      <w:pPr>
        <w:spacing w:line="579" w:lineRule="exact"/>
        <w:rPr>
          <w:rFonts w:hint="eastAsia" w:ascii="黑体" w:hAnsi="黑体" w:eastAsia="黑体" w:cs="黑体"/>
          <w:b/>
          <w:bCs/>
          <w:spacing w:val="-18"/>
          <w:sz w:val="34"/>
          <w:szCs w:val="34"/>
        </w:rPr>
      </w:pPr>
    </w:p>
    <w:p>
      <w:pPr>
        <w:spacing w:line="579" w:lineRule="exact"/>
        <w:rPr>
          <w:rFonts w:ascii="黑体" w:hAnsi="黑体" w:eastAsia="黑体" w:cs="黑体"/>
          <w:b/>
          <w:bCs/>
          <w:spacing w:val="-18"/>
          <w:sz w:val="34"/>
          <w:szCs w:val="34"/>
        </w:rPr>
      </w:pPr>
    </w:p>
    <w:p>
      <w:pPr>
        <w:spacing w:line="579" w:lineRule="exact"/>
        <w:rPr>
          <w:rFonts w:hint="eastAsia" w:ascii="黑体" w:hAnsi="黑体" w:eastAsia="黑体" w:cs="黑体"/>
          <w:b/>
          <w:bCs/>
          <w:spacing w:val="-18"/>
          <w:sz w:val="34"/>
          <w:szCs w:val="34"/>
        </w:rPr>
      </w:pPr>
    </w:p>
    <w:p>
      <w:pPr>
        <w:spacing w:line="579" w:lineRule="exact"/>
        <w:rPr>
          <w:rFonts w:ascii="黑体" w:hAnsi="黑体" w:eastAsia="黑体" w:cs="黑体"/>
          <w:bCs/>
          <w:spacing w:val="-18"/>
          <w:sz w:val="32"/>
          <w:szCs w:val="32"/>
        </w:rPr>
      </w:pPr>
    </w:p>
    <w:p>
      <w:pPr>
        <w:spacing w:line="579" w:lineRule="exact"/>
        <w:rPr>
          <w:rFonts w:ascii="黑体" w:hAnsi="黑体" w:eastAsia="黑体" w:cs="黑体"/>
          <w:bCs/>
          <w:spacing w:val="-18"/>
          <w:sz w:val="32"/>
          <w:szCs w:val="32"/>
        </w:rPr>
      </w:pPr>
    </w:p>
    <w:p>
      <w:pPr>
        <w:spacing w:line="579" w:lineRule="exact"/>
        <w:rPr>
          <w:rFonts w:ascii="黑体" w:hAnsi="黑体" w:eastAsia="黑体" w:cs="黑体"/>
          <w:bCs/>
          <w:spacing w:val="-18"/>
          <w:sz w:val="32"/>
          <w:szCs w:val="32"/>
        </w:rPr>
      </w:pPr>
    </w:p>
    <w:p>
      <w:pPr>
        <w:spacing w:line="579" w:lineRule="exact"/>
        <w:rPr>
          <w:rFonts w:ascii="黑体" w:hAnsi="黑体" w:eastAsia="黑体" w:cs="黑体"/>
          <w:bCs/>
          <w:spacing w:val="-18"/>
          <w:sz w:val="32"/>
          <w:szCs w:val="32"/>
        </w:rPr>
      </w:pPr>
    </w:p>
    <w:p>
      <w:pPr>
        <w:spacing w:line="579" w:lineRule="exact"/>
        <w:rPr>
          <w:rFonts w:ascii="黑体" w:hAnsi="黑体" w:eastAsia="黑体" w:cs="黑体"/>
          <w:bCs/>
          <w:spacing w:val="-18"/>
          <w:sz w:val="32"/>
          <w:szCs w:val="32"/>
        </w:rPr>
      </w:pPr>
    </w:p>
    <w:p>
      <w:pPr>
        <w:spacing w:line="579" w:lineRule="exact"/>
        <w:rPr>
          <w:rFonts w:ascii="黑体" w:hAnsi="黑体" w:eastAsia="黑体" w:cs="黑体"/>
          <w:bCs/>
          <w:spacing w:val="-18"/>
          <w:sz w:val="32"/>
          <w:szCs w:val="32"/>
        </w:rPr>
      </w:pPr>
    </w:p>
    <w:p>
      <w:pPr>
        <w:spacing w:line="579" w:lineRule="exact"/>
        <w:rPr>
          <w:rFonts w:ascii="黑体" w:hAnsi="黑体" w:eastAsia="黑体" w:cs="黑体"/>
          <w:bCs/>
          <w:spacing w:val="-18"/>
          <w:sz w:val="32"/>
          <w:szCs w:val="32"/>
        </w:rPr>
      </w:pPr>
    </w:p>
    <w:p>
      <w:pPr>
        <w:spacing w:line="579" w:lineRule="exact"/>
        <w:rPr>
          <w:rFonts w:ascii="黑体" w:hAnsi="黑体" w:eastAsia="黑体" w:cs="黑体"/>
          <w:bCs/>
          <w:spacing w:val="-18"/>
          <w:sz w:val="32"/>
          <w:szCs w:val="32"/>
        </w:rPr>
      </w:pPr>
    </w:p>
    <w:p>
      <w:pPr>
        <w:spacing w:line="579" w:lineRule="exact"/>
        <w:rPr>
          <w:rFonts w:hint="eastAsia" w:ascii="黑体" w:hAnsi="黑体" w:eastAsia="黑体" w:cs="黑体"/>
          <w:bCs/>
          <w:spacing w:val="2"/>
          <w:sz w:val="43"/>
          <w:szCs w:val="43"/>
        </w:rPr>
      </w:pPr>
      <w:r>
        <w:rPr>
          <w:rFonts w:ascii="黑体" w:hAnsi="黑体" w:eastAsia="黑体" w:cs="黑体"/>
          <w:bCs/>
          <w:spacing w:val="-18"/>
          <w:sz w:val="32"/>
          <w:szCs w:val="32"/>
        </w:rPr>
        <w:t>附件</w:t>
      </w:r>
      <w:bookmarkStart w:id="0" w:name="_GoBack"/>
      <w:bookmarkEnd w:id="0"/>
    </w:p>
    <w:p>
      <w:pPr>
        <w:spacing w:line="579" w:lineRule="exact"/>
        <w:jc w:val="center"/>
        <w:rPr>
          <w:rFonts w:hint="eastAsia" w:ascii="方正小标宋简体" w:eastAsia="方正小标宋简体"/>
          <w:szCs w:val="22"/>
        </w:rPr>
      </w:pPr>
      <w:r>
        <w:rPr>
          <w:rFonts w:hint="eastAsia" w:ascii="方正小标宋简体" w:hAnsi="黑体" w:eastAsia="方正小标宋简体" w:cs="黑体"/>
          <w:bCs/>
          <w:spacing w:val="2"/>
          <w:sz w:val="43"/>
          <w:szCs w:val="43"/>
        </w:rPr>
        <w:t>遂宁市安全生产举报奖励金审批表</w:t>
      </w:r>
    </w:p>
    <w:p>
      <w:pPr>
        <w:spacing w:line="579" w:lineRule="exact"/>
        <w:ind w:firstLine="2618" w:firstLineChars="1100"/>
        <w:rPr>
          <w:rFonts w:ascii="仿宋" w:hAnsi="仿宋" w:eastAsia="仿宋"/>
          <w:sz w:val="30"/>
          <w:szCs w:val="22"/>
        </w:rPr>
      </w:pPr>
      <w:r>
        <w:rPr>
          <w:rFonts w:ascii="仿宋" w:hAnsi="仿宋" w:eastAsia="仿宋" w:cs="宋体"/>
          <w:spacing w:val="-16"/>
          <w:sz w:val="27"/>
          <w:szCs w:val="27"/>
        </w:rPr>
        <w:t>编号：〔</w:t>
      </w:r>
      <w:r>
        <w:rPr>
          <w:rFonts w:ascii="仿宋" w:hAnsi="仿宋" w:eastAsia="仿宋" w:cs="宋体"/>
          <w:spacing w:val="35"/>
          <w:sz w:val="27"/>
          <w:szCs w:val="27"/>
        </w:rPr>
        <w:t xml:space="preserve">   </w:t>
      </w:r>
      <w:r>
        <w:rPr>
          <w:rFonts w:ascii="仿宋" w:hAnsi="仿宋" w:eastAsia="仿宋" w:cs="宋体"/>
          <w:spacing w:val="-16"/>
          <w:sz w:val="27"/>
          <w:szCs w:val="27"/>
        </w:rPr>
        <w:t>〕第</w:t>
      </w:r>
      <w:r>
        <w:rPr>
          <w:rFonts w:ascii="仿宋" w:hAnsi="仿宋" w:eastAsia="仿宋" w:cs="宋体"/>
          <w:spacing w:val="136"/>
          <w:sz w:val="27"/>
          <w:szCs w:val="27"/>
        </w:rPr>
        <w:t xml:space="preserve"> </w:t>
      </w:r>
      <w:r>
        <w:rPr>
          <w:rFonts w:ascii="仿宋" w:hAnsi="仿宋" w:eastAsia="仿宋" w:cs="宋体"/>
          <w:spacing w:val="-16"/>
          <w:sz w:val="27"/>
          <w:szCs w:val="27"/>
        </w:rPr>
        <w:t>号</w:t>
      </w:r>
    </w:p>
    <w:tbl>
      <w:tblPr>
        <w:tblStyle w:val="2"/>
        <w:tblW w:w="90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3"/>
        <w:gridCol w:w="1463"/>
        <w:gridCol w:w="75"/>
        <w:gridCol w:w="1012"/>
        <w:gridCol w:w="1564"/>
        <w:gridCol w:w="255"/>
        <w:gridCol w:w="900"/>
        <w:gridCol w:w="412"/>
        <w:gridCol w:w="18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1513" w:type="dxa"/>
            <w:noWrap w:val="0"/>
            <w:vAlign w:val="center"/>
          </w:tcPr>
          <w:p>
            <w:pPr>
              <w:spacing w:line="320" w:lineRule="exact"/>
              <w:jc w:val="center"/>
              <w:rPr>
                <w:rFonts w:ascii="黑体" w:hAnsi="黑体" w:eastAsia="黑体" w:cs="宋体"/>
                <w:spacing w:val="1"/>
                <w:sz w:val="24"/>
              </w:rPr>
            </w:pPr>
            <w:r>
              <w:rPr>
                <w:rFonts w:hint="eastAsia" w:ascii="黑体" w:hAnsi="黑体" w:eastAsia="黑体" w:cs="宋体"/>
                <w:spacing w:val="13"/>
                <w:sz w:val="24"/>
              </w:rPr>
              <w:t>举报人</w:t>
            </w:r>
            <w:r>
              <w:rPr>
                <w:rFonts w:hint="eastAsia" w:ascii="黑体" w:hAnsi="黑体" w:eastAsia="黑体" w:cs="宋体"/>
                <w:spacing w:val="1"/>
                <w:sz w:val="24"/>
              </w:rPr>
              <w:t xml:space="preserve"> </w:t>
            </w:r>
          </w:p>
          <w:p>
            <w:pPr>
              <w:spacing w:line="320" w:lineRule="exact"/>
              <w:jc w:val="center"/>
              <w:rPr>
                <w:rFonts w:ascii="黑体" w:hAnsi="黑体" w:eastAsia="黑体" w:cs="宋体"/>
                <w:sz w:val="24"/>
              </w:rPr>
            </w:pPr>
            <w:r>
              <w:rPr>
                <w:rFonts w:hint="eastAsia" w:ascii="黑体" w:hAnsi="黑体" w:eastAsia="黑体" w:cs="宋体"/>
                <w:spacing w:val="22"/>
                <w:sz w:val="24"/>
              </w:rPr>
              <w:t>(化名)</w:t>
            </w:r>
          </w:p>
        </w:tc>
        <w:tc>
          <w:tcPr>
            <w:tcW w:w="1538" w:type="dxa"/>
            <w:gridSpan w:val="2"/>
            <w:noWrap w:val="0"/>
            <w:vAlign w:val="center"/>
          </w:tcPr>
          <w:p>
            <w:pPr>
              <w:spacing w:line="320" w:lineRule="exact"/>
              <w:ind w:firstLine="480" w:firstLineChars="200"/>
              <w:jc w:val="center"/>
              <w:rPr>
                <w:rFonts w:ascii="黑体" w:hAnsi="黑体" w:eastAsia="黑体" w:cs="宋体"/>
                <w:sz w:val="24"/>
              </w:rPr>
            </w:pPr>
          </w:p>
        </w:tc>
        <w:tc>
          <w:tcPr>
            <w:tcW w:w="1012" w:type="dxa"/>
            <w:noWrap w:val="0"/>
            <w:vAlign w:val="center"/>
          </w:tcPr>
          <w:p>
            <w:pPr>
              <w:spacing w:line="320" w:lineRule="exact"/>
              <w:jc w:val="center"/>
              <w:rPr>
                <w:rFonts w:ascii="黑体" w:hAnsi="黑体" w:eastAsia="黑体" w:cs="宋体"/>
                <w:spacing w:val="12"/>
                <w:sz w:val="24"/>
              </w:rPr>
            </w:pPr>
            <w:r>
              <w:rPr>
                <w:rFonts w:hint="eastAsia" w:ascii="黑体" w:hAnsi="黑体" w:eastAsia="黑体" w:cs="宋体"/>
                <w:spacing w:val="12"/>
                <w:sz w:val="24"/>
              </w:rPr>
              <w:t>举报</w:t>
            </w:r>
          </w:p>
          <w:p>
            <w:pPr>
              <w:spacing w:line="320" w:lineRule="exact"/>
              <w:jc w:val="center"/>
              <w:rPr>
                <w:rFonts w:ascii="黑体" w:hAnsi="黑体" w:eastAsia="黑体" w:cs="宋体"/>
                <w:spacing w:val="12"/>
                <w:sz w:val="24"/>
              </w:rPr>
            </w:pPr>
            <w:r>
              <w:rPr>
                <w:rFonts w:hint="eastAsia" w:ascii="黑体" w:hAnsi="黑体" w:eastAsia="黑体" w:cs="宋体"/>
                <w:spacing w:val="12"/>
                <w:sz w:val="24"/>
              </w:rPr>
              <w:t>时间</w:t>
            </w:r>
          </w:p>
        </w:tc>
        <w:tc>
          <w:tcPr>
            <w:tcW w:w="1819" w:type="dxa"/>
            <w:gridSpan w:val="2"/>
            <w:noWrap w:val="0"/>
            <w:vAlign w:val="center"/>
          </w:tcPr>
          <w:p>
            <w:pPr>
              <w:spacing w:line="320" w:lineRule="exact"/>
              <w:ind w:firstLine="528" w:firstLineChars="200"/>
              <w:jc w:val="center"/>
              <w:rPr>
                <w:rFonts w:ascii="黑体" w:hAnsi="黑体" w:eastAsia="黑体" w:cs="宋体"/>
                <w:spacing w:val="12"/>
                <w:sz w:val="24"/>
              </w:rPr>
            </w:pPr>
          </w:p>
        </w:tc>
        <w:tc>
          <w:tcPr>
            <w:tcW w:w="900" w:type="dxa"/>
            <w:noWrap w:val="0"/>
            <w:vAlign w:val="center"/>
          </w:tcPr>
          <w:p>
            <w:pPr>
              <w:spacing w:line="320" w:lineRule="exact"/>
              <w:jc w:val="center"/>
              <w:rPr>
                <w:rFonts w:ascii="黑体" w:hAnsi="黑体" w:eastAsia="黑体" w:cs="宋体"/>
                <w:sz w:val="24"/>
              </w:rPr>
            </w:pPr>
            <w:r>
              <w:rPr>
                <w:rFonts w:hint="eastAsia" w:ascii="黑体" w:hAnsi="黑体" w:eastAsia="黑体" w:cs="宋体"/>
                <w:spacing w:val="12"/>
                <w:sz w:val="24"/>
              </w:rPr>
              <w:t>联系</w:t>
            </w:r>
          </w:p>
          <w:p>
            <w:pPr>
              <w:spacing w:line="320" w:lineRule="exact"/>
              <w:jc w:val="center"/>
              <w:rPr>
                <w:rFonts w:ascii="黑体" w:hAnsi="黑体" w:eastAsia="黑体" w:cs="宋体"/>
                <w:sz w:val="24"/>
              </w:rPr>
            </w:pPr>
            <w:r>
              <w:rPr>
                <w:rFonts w:hint="eastAsia" w:ascii="黑体" w:hAnsi="黑体" w:eastAsia="黑体" w:cs="宋体"/>
                <w:spacing w:val="5"/>
                <w:sz w:val="24"/>
              </w:rPr>
              <w:t>电话</w:t>
            </w:r>
          </w:p>
        </w:tc>
        <w:tc>
          <w:tcPr>
            <w:tcW w:w="2277" w:type="dxa"/>
            <w:gridSpan w:val="2"/>
            <w:noWrap w:val="0"/>
            <w:vAlign w:val="center"/>
          </w:tcPr>
          <w:p>
            <w:pPr>
              <w:spacing w:line="320" w:lineRule="exact"/>
              <w:ind w:firstLine="480" w:firstLineChars="200"/>
              <w:jc w:val="center"/>
              <w:rPr>
                <w:rFonts w:ascii="黑体" w:hAnsi="黑体" w:eastAsia="黑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513" w:type="dxa"/>
            <w:noWrap w:val="0"/>
            <w:vAlign w:val="center"/>
          </w:tcPr>
          <w:p>
            <w:pPr>
              <w:spacing w:line="320" w:lineRule="exact"/>
              <w:jc w:val="center"/>
              <w:rPr>
                <w:rFonts w:ascii="黑体" w:hAnsi="黑体" w:eastAsia="黑体" w:cs="宋体"/>
                <w:spacing w:val="6"/>
                <w:sz w:val="24"/>
              </w:rPr>
            </w:pPr>
            <w:r>
              <w:rPr>
                <w:rFonts w:hint="eastAsia" w:ascii="黑体" w:hAnsi="黑体" w:eastAsia="黑体" w:cs="宋体"/>
                <w:spacing w:val="6"/>
                <w:sz w:val="24"/>
              </w:rPr>
              <w:t>举报</w:t>
            </w:r>
          </w:p>
          <w:p>
            <w:pPr>
              <w:spacing w:line="320" w:lineRule="exact"/>
              <w:jc w:val="center"/>
              <w:rPr>
                <w:rFonts w:ascii="黑体" w:hAnsi="黑体" w:eastAsia="黑体" w:cs="宋体"/>
                <w:sz w:val="24"/>
              </w:rPr>
            </w:pPr>
            <w:r>
              <w:rPr>
                <w:rFonts w:hint="eastAsia" w:ascii="黑体" w:hAnsi="黑体" w:eastAsia="黑体" w:cs="宋体"/>
                <w:spacing w:val="6"/>
                <w:sz w:val="24"/>
              </w:rPr>
              <w:t>方式</w:t>
            </w:r>
          </w:p>
        </w:tc>
        <w:tc>
          <w:tcPr>
            <w:tcW w:w="7546" w:type="dxa"/>
            <w:gridSpan w:val="8"/>
            <w:noWrap w:val="0"/>
            <w:vAlign w:val="center"/>
          </w:tcPr>
          <w:p>
            <w:pPr>
              <w:spacing w:line="320" w:lineRule="exact"/>
              <w:ind w:firstLine="464" w:firstLineChars="200"/>
              <w:jc w:val="center"/>
              <w:rPr>
                <w:rFonts w:ascii="黑体" w:hAnsi="黑体" w:eastAsia="黑体" w:cs="宋体"/>
                <w:sz w:val="24"/>
              </w:rPr>
            </w:pPr>
            <w:r>
              <w:rPr>
                <w:rFonts w:hint="eastAsia" w:ascii="黑体" w:hAnsi="黑体" w:eastAsia="黑体" w:cs="宋体"/>
                <w:spacing w:val="-4"/>
                <w:sz w:val="24"/>
              </w:rPr>
              <w:t>来人(</w:t>
            </w:r>
            <w:r>
              <w:rPr>
                <w:rFonts w:hint="eastAsia" w:ascii="黑体" w:hAnsi="黑体" w:eastAsia="黑体" w:cs="宋体"/>
                <w:spacing w:val="10"/>
                <w:sz w:val="24"/>
              </w:rPr>
              <w:t xml:space="preserve">  </w:t>
            </w:r>
            <w:r>
              <w:rPr>
                <w:rFonts w:hint="eastAsia" w:ascii="黑体" w:hAnsi="黑体" w:eastAsia="黑体" w:cs="宋体"/>
                <w:spacing w:val="-4"/>
                <w:sz w:val="24"/>
              </w:rPr>
              <w:t>)</w:t>
            </w:r>
            <w:r>
              <w:rPr>
                <w:rFonts w:hint="eastAsia" w:ascii="黑体" w:hAnsi="黑体" w:eastAsia="黑体" w:cs="宋体"/>
                <w:spacing w:val="10"/>
                <w:sz w:val="24"/>
              </w:rPr>
              <w:t xml:space="preserve">  </w:t>
            </w:r>
            <w:r>
              <w:rPr>
                <w:rFonts w:hint="eastAsia" w:ascii="黑体" w:hAnsi="黑体" w:eastAsia="黑体" w:cs="宋体"/>
                <w:spacing w:val="-4"/>
                <w:sz w:val="24"/>
              </w:rPr>
              <w:t>来电(</w:t>
            </w:r>
            <w:r>
              <w:rPr>
                <w:rFonts w:hint="eastAsia" w:ascii="黑体" w:hAnsi="黑体" w:eastAsia="黑体" w:cs="宋体"/>
                <w:spacing w:val="9"/>
                <w:sz w:val="24"/>
              </w:rPr>
              <w:t xml:space="preserve">  </w:t>
            </w:r>
            <w:r>
              <w:rPr>
                <w:rFonts w:hint="eastAsia" w:ascii="黑体" w:hAnsi="黑体" w:eastAsia="黑体" w:cs="宋体"/>
                <w:spacing w:val="-4"/>
                <w:sz w:val="24"/>
              </w:rPr>
              <w:t>)</w:t>
            </w:r>
            <w:r>
              <w:rPr>
                <w:rFonts w:hint="eastAsia" w:ascii="黑体" w:hAnsi="黑体" w:eastAsia="黑体" w:cs="宋体"/>
                <w:spacing w:val="9"/>
                <w:sz w:val="24"/>
              </w:rPr>
              <w:t xml:space="preserve">  </w:t>
            </w:r>
            <w:r>
              <w:rPr>
                <w:rFonts w:hint="eastAsia" w:ascii="黑体" w:hAnsi="黑体" w:eastAsia="黑体" w:cs="宋体"/>
                <w:spacing w:val="-4"/>
                <w:sz w:val="24"/>
              </w:rPr>
              <w:t>信件(</w:t>
            </w:r>
            <w:r>
              <w:rPr>
                <w:rFonts w:hint="eastAsia" w:ascii="黑体" w:hAnsi="黑体" w:eastAsia="黑体" w:cs="宋体"/>
                <w:spacing w:val="9"/>
                <w:sz w:val="24"/>
              </w:rPr>
              <w:t xml:space="preserve">  </w:t>
            </w:r>
            <w:r>
              <w:rPr>
                <w:rFonts w:hint="eastAsia" w:ascii="黑体" w:hAnsi="黑体" w:eastAsia="黑体" w:cs="宋体"/>
                <w:spacing w:val="-4"/>
                <w:sz w:val="24"/>
              </w:rPr>
              <w:t>)</w:t>
            </w:r>
            <w:r>
              <w:rPr>
                <w:rFonts w:hint="eastAsia" w:ascii="黑体" w:hAnsi="黑体" w:eastAsia="黑体" w:cs="宋体"/>
                <w:spacing w:val="10"/>
                <w:sz w:val="24"/>
              </w:rPr>
              <w:t xml:space="preserve">  </w:t>
            </w:r>
            <w:r>
              <w:rPr>
                <w:rFonts w:hint="eastAsia" w:ascii="黑体" w:hAnsi="黑体" w:eastAsia="黑体" w:cs="宋体"/>
                <w:spacing w:val="-4"/>
                <w:sz w:val="24"/>
              </w:rPr>
              <w:t>其他(</w:t>
            </w:r>
            <w:r>
              <w:rPr>
                <w:rFonts w:hint="eastAsia" w:ascii="黑体" w:hAnsi="黑体" w:eastAsia="黑体" w:cs="宋体"/>
                <w:spacing w:val="9"/>
                <w:sz w:val="24"/>
              </w:rPr>
              <w:t xml:space="preserve">  </w:t>
            </w:r>
            <w:r>
              <w:rPr>
                <w:rFonts w:hint="eastAsia" w:ascii="黑体" w:hAnsi="黑体" w:eastAsia="黑体" w:cs="宋体"/>
                <w:spacing w:val="-4"/>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1513" w:type="dxa"/>
            <w:noWrap w:val="0"/>
            <w:vAlign w:val="center"/>
          </w:tcPr>
          <w:p>
            <w:pPr>
              <w:spacing w:line="320" w:lineRule="exact"/>
              <w:jc w:val="center"/>
              <w:rPr>
                <w:rFonts w:ascii="黑体" w:hAnsi="黑体" w:eastAsia="黑体" w:cs="宋体"/>
                <w:sz w:val="24"/>
              </w:rPr>
            </w:pPr>
            <w:r>
              <w:rPr>
                <w:rFonts w:hint="eastAsia" w:ascii="黑体" w:hAnsi="黑体" w:eastAsia="黑体" w:cs="宋体"/>
                <w:spacing w:val="6"/>
                <w:sz w:val="24"/>
              </w:rPr>
              <w:t>举报</w:t>
            </w:r>
          </w:p>
          <w:p>
            <w:pPr>
              <w:spacing w:line="320" w:lineRule="exact"/>
              <w:jc w:val="center"/>
              <w:rPr>
                <w:rFonts w:ascii="黑体" w:hAnsi="黑体" w:eastAsia="黑体" w:cs="宋体"/>
                <w:sz w:val="24"/>
              </w:rPr>
            </w:pPr>
            <w:r>
              <w:rPr>
                <w:rFonts w:hint="eastAsia" w:ascii="黑体" w:hAnsi="黑体" w:eastAsia="黑体" w:cs="宋体"/>
                <w:spacing w:val="8"/>
                <w:sz w:val="24"/>
              </w:rPr>
              <w:t>事项</w:t>
            </w:r>
          </w:p>
        </w:tc>
        <w:tc>
          <w:tcPr>
            <w:tcW w:w="7546" w:type="dxa"/>
            <w:gridSpan w:val="8"/>
            <w:noWrap w:val="0"/>
            <w:vAlign w:val="center"/>
          </w:tcPr>
          <w:p>
            <w:pPr>
              <w:spacing w:line="320" w:lineRule="exact"/>
              <w:ind w:firstLine="480" w:firstLineChars="200"/>
              <w:jc w:val="center"/>
              <w:rPr>
                <w:rFonts w:ascii="黑体" w:hAnsi="黑体" w:eastAsia="黑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513" w:type="dxa"/>
            <w:vMerge w:val="restart"/>
            <w:tcBorders>
              <w:bottom w:val="nil"/>
            </w:tcBorders>
            <w:noWrap w:val="0"/>
            <w:vAlign w:val="center"/>
          </w:tcPr>
          <w:p>
            <w:pPr>
              <w:spacing w:line="320" w:lineRule="exact"/>
              <w:jc w:val="center"/>
              <w:rPr>
                <w:rFonts w:ascii="黑体" w:hAnsi="黑体" w:eastAsia="黑体" w:cs="宋体"/>
                <w:sz w:val="24"/>
              </w:rPr>
            </w:pPr>
            <w:r>
              <w:rPr>
                <w:rFonts w:hint="eastAsia" w:ascii="黑体" w:hAnsi="黑体" w:eastAsia="黑体" w:cs="宋体"/>
                <w:spacing w:val="5"/>
                <w:sz w:val="24"/>
              </w:rPr>
              <w:t>案件</w:t>
            </w:r>
          </w:p>
          <w:p>
            <w:pPr>
              <w:spacing w:line="320" w:lineRule="exact"/>
              <w:jc w:val="center"/>
              <w:rPr>
                <w:rFonts w:ascii="黑体" w:hAnsi="黑体" w:eastAsia="黑体" w:cs="宋体"/>
                <w:sz w:val="24"/>
              </w:rPr>
            </w:pPr>
            <w:r>
              <w:rPr>
                <w:rFonts w:hint="eastAsia" w:ascii="黑体" w:hAnsi="黑体" w:eastAsia="黑体" w:cs="宋体"/>
                <w:spacing w:val="4"/>
                <w:sz w:val="24"/>
              </w:rPr>
              <w:t>处理</w:t>
            </w:r>
          </w:p>
          <w:p>
            <w:pPr>
              <w:spacing w:line="320" w:lineRule="exact"/>
              <w:jc w:val="center"/>
              <w:rPr>
                <w:rFonts w:ascii="黑体" w:hAnsi="黑体" w:eastAsia="黑体" w:cs="宋体"/>
                <w:sz w:val="24"/>
              </w:rPr>
            </w:pPr>
            <w:r>
              <w:rPr>
                <w:rFonts w:hint="eastAsia" w:ascii="黑体" w:hAnsi="黑体" w:eastAsia="黑体" w:cs="宋体"/>
                <w:spacing w:val="7"/>
                <w:sz w:val="24"/>
              </w:rPr>
              <w:t>结果</w:t>
            </w:r>
          </w:p>
        </w:tc>
        <w:tc>
          <w:tcPr>
            <w:tcW w:w="1538" w:type="dxa"/>
            <w:gridSpan w:val="2"/>
            <w:noWrap w:val="0"/>
            <w:vAlign w:val="center"/>
          </w:tcPr>
          <w:p>
            <w:pPr>
              <w:spacing w:line="320" w:lineRule="exact"/>
              <w:jc w:val="center"/>
              <w:rPr>
                <w:rFonts w:ascii="黑体" w:hAnsi="黑体" w:eastAsia="黑体" w:cs="宋体"/>
                <w:sz w:val="24"/>
              </w:rPr>
            </w:pPr>
            <w:r>
              <w:rPr>
                <w:rFonts w:hint="eastAsia" w:ascii="黑体" w:hAnsi="黑体" w:eastAsia="黑体" w:cs="宋体"/>
                <w:spacing w:val="2"/>
                <w:sz w:val="24"/>
              </w:rPr>
              <w:t>案件经办人</w:t>
            </w:r>
          </w:p>
        </w:tc>
        <w:tc>
          <w:tcPr>
            <w:tcW w:w="2576" w:type="dxa"/>
            <w:gridSpan w:val="2"/>
            <w:noWrap w:val="0"/>
            <w:vAlign w:val="center"/>
          </w:tcPr>
          <w:p>
            <w:pPr>
              <w:spacing w:line="320" w:lineRule="exact"/>
              <w:ind w:firstLine="480" w:firstLineChars="200"/>
              <w:jc w:val="center"/>
              <w:rPr>
                <w:rFonts w:ascii="黑体" w:hAnsi="黑体" w:eastAsia="黑体" w:cs="宋体"/>
                <w:sz w:val="24"/>
              </w:rPr>
            </w:pPr>
          </w:p>
        </w:tc>
        <w:tc>
          <w:tcPr>
            <w:tcW w:w="1567" w:type="dxa"/>
            <w:gridSpan w:val="3"/>
            <w:noWrap w:val="0"/>
            <w:vAlign w:val="center"/>
          </w:tcPr>
          <w:p>
            <w:pPr>
              <w:spacing w:line="320" w:lineRule="exact"/>
              <w:jc w:val="center"/>
              <w:rPr>
                <w:rFonts w:ascii="黑体" w:hAnsi="黑体" w:eastAsia="黑体" w:cs="宋体"/>
                <w:sz w:val="24"/>
              </w:rPr>
            </w:pPr>
            <w:r>
              <w:rPr>
                <w:rFonts w:hint="eastAsia" w:ascii="黑体" w:hAnsi="黑体" w:eastAsia="黑体" w:cs="宋体"/>
                <w:spacing w:val="6"/>
                <w:sz w:val="24"/>
              </w:rPr>
              <w:t>结案时间</w:t>
            </w:r>
          </w:p>
        </w:tc>
        <w:tc>
          <w:tcPr>
            <w:tcW w:w="1865" w:type="dxa"/>
            <w:noWrap w:val="0"/>
            <w:vAlign w:val="center"/>
          </w:tcPr>
          <w:p>
            <w:pPr>
              <w:spacing w:line="320" w:lineRule="exact"/>
              <w:ind w:firstLine="480" w:firstLineChars="200"/>
              <w:jc w:val="center"/>
              <w:rPr>
                <w:rFonts w:ascii="黑体" w:hAnsi="黑体" w:eastAsia="黑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1513" w:type="dxa"/>
            <w:vMerge w:val="continue"/>
            <w:tcBorders>
              <w:top w:val="nil"/>
            </w:tcBorders>
            <w:noWrap w:val="0"/>
            <w:vAlign w:val="center"/>
          </w:tcPr>
          <w:p>
            <w:pPr>
              <w:spacing w:line="320" w:lineRule="exact"/>
              <w:ind w:firstLine="480" w:firstLineChars="200"/>
              <w:jc w:val="center"/>
              <w:rPr>
                <w:rFonts w:ascii="黑体" w:hAnsi="黑体" w:eastAsia="黑体" w:cs="宋体"/>
                <w:sz w:val="24"/>
              </w:rPr>
            </w:pPr>
          </w:p>
        </w:tc>
        <w:tc>
          <w:tcPr>
            <w:tcW w:w="1538" w:type="dxa"/>
            <w:gridSpan w:val="2"/>
            <w:noWrap w:val="0"/>
            <w:vAlign w:val="center"/>
          </w:tcPr>
          <w:p>
            <w:pPr>
              <w:spacing w:line="320" w:lineRule="exact"/>
              <w:jc w:val="center"/>
              <w:rPr>
                <w:rFonts w:ascii="黑体" w:hAnsi="黑体" w:eastAsia="黑体" w:cs="宋体"/>
                <w:spacing w:val="-2"/>
                <w:sz w:val="24"/>
              </w:rPr>
            </w:pPr>
            <w:r>
              <w:rPr>
                <w:rFonts w:hint="eastAsia" w:ascii="黑体" w:hAnsi="黑体" w:eastAsia="黑体" w:cs="宋体"/>
                <w:spacing w:val="2"/>
                <w:sz w:val="24"/>
              </w:rPr>
              <w:t>处罚对象</w:t>
            </w:r>
            <w:r>
              <w:rPr>
                <w:rFonts w:hint="eastAsia" w:ascii="黑体" w:hAnsi="黑体" w:eastAsia="黑体" w:cs="宋体"/>
                <w:spacing w:val="-2"/>
                <w:sz w:val="24"/>
              </w:rPr>
              <w:t>及</w:t>
            </w:r>
          </w:p>
          <w:p>
            <w:pPr>
              <w:spacing w:line="320" w:lineRule="exact"/>
              <w:jc w:val="center"/>
              <w:rPr>
                <w:rFonts w:ascii="黑体" w:hAnsi="黑体" w:eastAsia="黑体" w:cs="宋体"/>
                <w:sz w:val="24"/>
              </w:rPr>
            </w:pPr>
            <w:r>
              <w:rPr>
                <w:rFonts w:hint="eastAsia" w:ascii="黑体" w:hAnsi="黑体" w:eastAsia="黑体" w:cs="宋体"/>
                <w:spacing w:val="-2"/>
                <w:sz w:val="24"/>
              </w:rPr>
              <w:t>罚没金额</w:t>
            </w:r>
          </w:p>
        </w:tc>
        <w:tc>
          <w:tcPr>
            <w:tcW w:w="6008" w:type="dxa"/>
            <w:gridSpan w:val="6"/>
            <w:noWrap w:val="0"/>
            <w:vAlign w:val="center"/>
          </w:tcPr>
          <w:p>
            <w:pPr>
              <w:spacing w:line="320" w:lineRule="exact"/>
              <w:ind w:firstLine="480" w:firstLineChars="200"/>
              <w:jc w:val="center"/>
              <w:rPr>
                <w:rFonts w:ascii="黑体" w:hAnsi="黑体" w:eastAsia="黑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jc w:val="center"/>
        </w:trPr>
        <w:tc>
          <w:tcPr>
            <w:tcW w:w="1513" w:type="dxa"/>
            <w:noWrap w:val="0"/>
            <w:vAlign w:val="center"/>
          </w:tcPr>
          <w:p>
            <w:pPr>
              <w:spacing w:line="320" w:lineRule="exact"/>
              <w:jc w:val="center"/>
              <w:rPr>
                <w:rFonts w:ascii="黑体" w:hAnsi="黑体" w:eastAsia="黑体" w:cs="宋体"/>
                <w:sz w:val="24"/>
              </w:rPr>
            </w:pPr>
            <w:r>
              <w:rPr>
                <w:rFonts w:hint="eastAsia" w:ascii="黑体" w:hAnsi="黑体" w:eastAsia="黑体" w:cs="宋体"/>
                <w:spacing w:val="7"/>
                <w:sz w:val="24"/>
              </w:rPr>
              <w:t>奖励</w:t>
            </w:r>
          </w:p>
          <w:p>
            <w:pPr>
              <w:spacing w:line="320" w:lineRule="exact"/>
              <w:jc w:val="center"/>
              <w:rPr>
                <w:rFonts w:ascii="黑体" w:hAnsi="黑体" w:eastAsia="黑体" w:cs="宋体"/>
                <w:sz w:val="24"/>
              </w:rPr>
            </w:pPr>
            <w:r>
              <w:rPr>
                <w:rFonts w:hint="eastAsia" w:ascii="黑体" w:hAnsi="黑体" w:eastAsia="黑体" w:cs="宋体"/>
                <w:spacing w:val="6"/>
                <w:sz w:val="24"/>
              </w:rPr>
              <w:t>意见</w:t>
            </w:r>
          </w:p>
        </w:tc>
        <w:tc>
          <w:tcPr>
            <w:tcW w:w="7546" w:type="dxa"/>
            <w:gridSpan w:val="8"/>
            <w:noWrap w:val="0"/>
            <w:vAlign w:val="center"/>
          </w:tcPr>
          <w:p>
            <w:pPr>
              <w:spacing w:line="320" w:lineRule="exact"/>
              <w:ind w:firstLine="480" w:firstLineChars="200"/>
              <w:jc w:val="center"/>
              <w:rPr>
                <w:rFonts w:ascii="黑体" w:hAnsi="黑体" w:eastAsia="黑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jc w:val="center"/>
        </w:trPr>
        <w:tc>
          <w:tcPr>
            <w:tcW w:w="1513" w:type="dxa"/>
            <w:noWrap w:val="0"/>
            <w:vAlign w:val="center"/>
          </w:tcPr>
          <w:p>
            <w:pPr>
              <w:spacing w:line="320" w:lineRule="exact"/>
              <w:jc w:val="center"/>
              <w:rPr>
                <w:rFonts w:ascii="黑体" w:hAnsi="黑体" w:eastAsia="黑体" w:cs="宋体"/>
                <w:sz w:val="24"/>
              </w:rPr>
            </w:pPr>
            <w:r>
              <w:rPr>
                <w:rFonts w:hint="eastAsia" w:ascii="黑体" w:hAnsi="黑体" w:eastAsia="黑体" w:cs="宋体"/>
                <w:spacing w:val="5"/>
                <w:sz w:val="24"/>
              </w:rPr>
              <w:t>奖金</w:t>
            </w:r>
          </w:p>
          <w:p>
            <w:pPr>
              <w:spacing w:line="320" w:lineRule="exact"/>
              <w:jc w:val="center"/>
              <w:rPr>
                <w:rFonts w:ascii="黑体" w:hAnsi="黑体" w:eastAsia="黑体" w:cs="宋体"/>
                <w:sz w:val="24"/>
              </w:rPr>
            </w:pPr>
            <w:r>
              <w:rPr>
                <w:rFonts w:hint="eastAsia" w:ascii="黑体" w:hAnsi="黑体" w:eastAsia="黑体" w:cs="宋体"/>
                <w:spacing w:val="2"/>
                <w:sz w:val="24"/>
              </w:rPr>
              <w:t>领取方式</w:t>
            </w:r>
          </w:p>
        </w:tc>
        <w:tc>
          <w:tcPr>
            <w:tcW w:w="7546" w:type="dxa"/>
            <w:gridSpan w:val="8"/>
            <w:noWrap w:val="0"/>
            <w:vAlign w:val="center"/>
          </w:tcPr>
          <w:p>
            <w:pPr>
              <w:spacing w:line="320" w:lineRule="exact"/>
              <w:ind w:firstLine="480" w:firstLineChars="200"/>
              <w:jc w:val="center"/>
              <w:rPr>
                <w:rFonts w:ascii="黑体" w:hAnsi="黑体" w:eastAsia="黑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 w:hRule="atLeast"/>
          <w:jc w:val="center"/>
        </w:trPr>
        <w:tc>
          <w:tcPr>
            <w:tcW w:w="1513" w:type="dxa"/>
            <w:vMerge w:val="restart"/>
            <w:tcBorders>
              <w:bottom w:val="nil"/>
            </w:tcBorders>
            <w:noWrap w:val="0"/>
            <w:textDirection w:val="tbRlV"/>
            <w:vAlign w:val="center"/>
          </w:tcPr>
          <w:p>
            <w:pPr>
              <w:spacing w:line="320" w:lineRule="exact"/>
              <w:ind w:firstLine="480" w:firstLineChars="200"/>
              <w:jc w:val="center"/>
              <w:rPr>
                <w:rFonts w:ascii="黑体" w:hAnsi="黑体" w:eastAsia="黑体" w:cs="宋体"/>
                <w:sz w:val="24"/>
              </w:rPr>
            </w:pPr>
            <w:r>
              <w:rPr>
                <w:rFonts w:hint="eastAsia" w:ascii="黑体" w:hAnsi="黑体" w:eastAsia="黑体" w:cs="宋体"/>
                <w:sz w:val="24"/>
              </w:rPr>
              <w:t>办理部门意见</w:t>
            </w:r>
          </w:p>
        </w:tc>
        <w:tc>
          <w:tcPr>
            <w:tcW w:w="1463" w:type="dxa"/>
            <w:noWrap w:val="0"/>
            <w:vAlign w:val="center"/>
          </w:tcPr>
          <w:p>
            <w:pPr>
              <w:spacing w:line="320" w:lineRule="exact"/>
              <w:jc w:val="center"/>
              <w:rPr>
                <w:rFonts w:ascii="黑体" w:hAnsi="黑体" w:eastAsia="黑体" w:cs="宋体"/>
                <w:sz w:val="24"/>
              </w:rPr>
            </w:pPr>
            <w:r>
              <w:rPr>
                <w:rFonts w:hint="eastAsia" w:ascii="黑体" w:hAnsi="黑体" w:eastAsia="黑体" w:cs="宋体"/>
                <w:spacing w:val="7"/>
                <w:sz w:val="24"/>
              </w:rPr>
              <w:t>审核</w:t>
            </w:r>
          </w:p>
          <w:p>
            <w:pPr>
              <w:spacing w:line="320" w:lineRule="exact"/>
              <w:jc w:val="center"/>
              <w:rPr>
                <w:rFonts w:ascii="黑体" w:hAnsi="黑体" w:eastAsia="黑体" w:cs="宋体"/>
                <w:sz w:val="24"/>
              </w:rPr>
            </w:pPr>
            <w:r>
              <w:rPr>
                <w:rFonts w:hint="eastAsia" w:ascii="黑体" w:hAnsi="黑体" w:eastAsia="黑体" w:cs="宋体"/>
                <w:spacing w:val="6"/>
                <w:sz w:val="24"/>
              </w:rPr>
              <w:t>意见</w:t>
            </w:r>
          </w:p>
        </w:tc>
        <w:tc>
          <w:tcPr>
            <w:tcW w:w="6083" w:type="dxa"/>
            <w:gridSpan w:val="7"/>
            <w:noWrap w:val="0"/>
            <w:vAlign w:val="center"/>
          </w:tcPr>
          <w:p>
            <w:pPr>
              <w:spacing w:line="320" w:lineRule="exact"/>
              <w:ind w:firstLine="480" w:firstLineChars="200"/>
              <w:jc w:val="center"/>
              <w:rPr>
                <w:rFonts w:ascii="黑体" w:hAnsi="黑体" w:eastAsia="黑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0" w:hRule="atLeast"/>
          <w:jc w:val="center"/>
        </w:trPr>
        <w:tc>
          <w:tcPr>
            <w:tcW w:w="1513" w:type="dxa"/>
            <w:vMerge w:val="continue"/>
            <w:tcBorders>
              <w:top w:val="nil"/>
            </w:tcBorders>
            <w:noWrap w:val="0"/>
            <w:textDirection w:val="tbRlV"/>
            <w:vAlign w:val="center"/>
          </w:tcPr>
          <w:p>
            <w:pPr>
              <w:spacing w:line="320" w:lineRule="exact"/>
              <w:ind w:firstLine="480" w:firstLineChars="200"/>
              <w:jc w:val="center"/>
              <w:rPr>
                <w:rFonts w:ascii="黑体" w:hAnsi="黑体" w:eastAsia="黑体" w:cs="宋体"/>
                <w:sz w:val="24"/>
              </w:rPr>
            </w:pPr>
          </w:p>
        </w:tc>
        <w:tc>
          <w:tcPr>
            <w:tcW w:w="1463" w:type="dxa"/>
            <w:noWrap w:val="0"/>
            <w:vAlign w:val="center"/>
          </w:tcPr>
          <w:p>
            <w:pPr>
              <w:spacing w:line="320" w:lineRule="exact"/>
              <w:jc w:val="center"/>
              <w:rPr>
                <w:rFonts w:ascii="黑体" w:hAnsi="黑体" w:eastAsia="黑体" w:cs="宋体"/>
                <w:sz w:val="24"/>
              </w:rPr>
            </w:pPr>
            <w:r>
              <w:rPr>
                <w:rFonts w:hint="eastAsia" w:ascii="黑体" w:hAnsi="黑体" w:eastAsia="黑体" w:cs="宋体"/>
                <w:sz w:val="24"/>
              </w:rPr>
              <w:t>负责人</w:t>
            </w:r>
          </w:p>
          <w:p>
            <w:pPr>
              <w:spacing w:line="320" w:lineRule="exact"/>
              <w:jc w:val="center"/>
              <w:rPr>
                <w:rFonts w:ascii="黑体" w:hAnsi="黑体" w:eastAsia="黑体" w:cs="宋体"/>
                <w:sz w:val="24"/>
              </w:rPr>
            </w:pPr>
            <w:r>
              <w:rPr>
                <w:rFonts w:hint="eastAsia" w:ascii="黑体" w:hAnsi="黑体" w:eastAsia="黑体" w:cs="宋体"/>
                <w:sz w:val="24"/>
              </w:rPr>
              <w:t>审批意见</w:t>
            </w:r>
          </w:p>
        </w:tc>
        <w:tc>
          <w:tcPr>
            <w:tcW w:w="6083" w:type="dxa"/>
            <w:gridSpan w:val="7"/>
            <w:noWrap w:val="0"/>
            <w:vAlign w:val="center"/>
          </w:tcPr>
          <w:p>
            <w:pPr>
              <w:spacing w:line="320" w:lineRule="exact"/>
              <w:ind w:firstLine="480" w:firstLineChars="200"/>
              <w:jc w:val="center"/>
              <w:rPr>
                <w:rFonts w:ascii="黑体" w:hAnsi="黑体" w:eastAsia="黑体" w:cs="宋体"/>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5AEF8241"/>
    <w:rsid w:val="6716C860"/>
    <w:rsid w:val="6FBF4486"/>
    <w:rsid w:val="73F7DB5E"/>
    <w:rsid w:val="7A5F8816"/>
    <w:rsid w:val="BDBA19A8"/>
    <w:rsid w:val="BF7B414D"/>
    <w:rsid w:val="DF5F7818"/>
    <w:rsid w:val="F2D7F1DB"/>
    <w:rsid w:val="FCF1D0AB"/>
    <w:rsid w:val="FEBDDE15"/>
    <w:rsid w:val="FF7D7245"/>
    <w:rsid w:val="FFEF2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user</cp:lastModifiedBy>
  <dcterms:modified xsi:type="dcterms:W3CDTF">2024-01-30T17:48:17Z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