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A99CC">
      <w:pPr>
        <w:spacing w:line="600" w:lineRule="exact"/>
        <w:jc w:val="left"/>
        <w:outlineLvl w:val="9"/>
        <w:rPr>
          <w:rFonts w:ascii="方正小标宋简体" w:hAnsi="宋体" w:eastAsia="方正小标宋简体"/>
          <w:szCs w:val="21"/>
        </w:rPr>
      </w:pPr>
      <w:bookmarkStart w:id="0" w:name="_Toc15306267"/>
    </w:p>
    <w:p w14:paraId="430CF405">
      <w:pPr>
        <w:pStyle w:val="2"/>
        <w:spacing w:before="93"/>
      </w:pPr>
    </w:p>
    <w:p w14:paraId="3C6C8417">
      <w:pPr>
        <w:spacing w:line="600" w:lineRule="exact"/>
        <w:jc w:val="center"/>
        <w:outlineLvl w:val="9"/>
        <w:rPr>
          <w:rFonts w:ascii="方正小标宋简体" w:hAnsi="宋体" w:eastAsia="方正小标宋简体"/>
          <w:sz w:val="72"/>
          <w:szCs w:val="72"/>
        </w:rPr>
      </w:pPr>
    </w:p>
    <w:p w14:paraId="394D0AE0">
      <w:pPr>
        <w:spacing w:line="600" w:lineRule="exact"/>
        <w:jc w:val="center"/>
        <w:outlineLvl w:val="9"/>
        <w:rPr>
          <w:rFonts w:ascii="方正小标宋简体" w:hAnsi="宋体" w:eastAsia="方正小标宋简体"/>
          <w:sz w:val="72"/>
          <w:szCs w:val="72"/>
        </w:rPr>
      </w:pPr>
    </w:p>
    <w:p w14:paraId="2A013FA9">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475"/>
      <w:bookmarkStart w:id="2" w:name="_Toc15377193"/>
      <w:bookmarkStart w:id="3" w:name="_Toc15396597"/>
      <w:bookmarkStart w:id="4" w:name="_Toc15378441"/>
      <w:bookmarkStart w:id="5" w:name="_Toc25553"/>
      <w:bookmarkStart w:id="6" w:name="_Toc15377425"/>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bookmarkEnd w:id="6"/>
    </w:p>
    <w:p w14:paraId="5FD6DDE8">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15378442"/>
      <w:bookmarkStart w:id="8" w:name="_Toc15396476"/>
      <w:bookmarkStart w:id="9" w:name="_Toc15710"/>
      <w:bookmarkStart w:id="10" w:name="_Toc15377426"/>
      <w:bookmarkStart w:id="11" w:name="_Toc15377194"/>
      <w:bookmarkStart w:id="12" w:name="_Toc15396598"/>
      <w:r>
        <w:rPr>
          <w:rFonts w:hint="eastAsia" w:ascii="方正小标宋简体" w:hAnsi="方正小标宋简体" w:eastAsia="方正小标宋简体" w:cs="方正小标宋简体"/>
          <w:sz w:val="72"/>
          <w:szCs w:val="72"/>
        </w:rPr>
        <w:t>四川省</w:t>
      </w:r>
      <w:bookmarkEnd w:id="0"/>
      <w:bookmarkStart w:id="13" w:name="_Toc15306268"/>
      <w:r>
        <w:rPr>
          <w:rFonts w:hint="eastAsia" w:ascii="方正小标宋简体" w:hAnsi="方正小标宋简体" w:eastAsia="方正小标宋简体" w:cs="方正小标宋简体"/>
          <w:sz w:val="72"/>
          <w:szCs w:val="72"/>
          <w:lang w:val="en-US" w:eastAsia="zh-CN"/>
        </w:rPr>
        <w:t>遂宁市应急管理局</w:t>
      </w:r>
      <w:r>
        <w:rPr>
          <w:rFonts w:hint="eastAsia" w:ascii="方正小标宋简体" w:hAnsi="方正小标宋简体" w:eastAsia="方正小标宋简体" w:cs="方正小标宋简体"/>
          <w:sz w:val="72"/>
          <w:szCs w:val="72"/>
        </w:rPr>
        <w:t>单位决算</w:t>
      </w:r>
      <w:bookmarkEnd w:id="7"/>
      <w:bookmarkEnd w:id="8"/>
      <w:bookmarkEnd w:id="9"/>
      <w:bookmarkEnd w:id="10"/>
      <w:bookmarkEnd w:id="11"/>
      <w:bookmarkEnd w:id="12"/>
      <w:bookmarkEnd w:id="13"/>
    </w:p>
    <w:p w14:paraId="318429E7">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7EE9030E">
      <w:pPr>
        <w:widowControl/>
        <w:jc w:val="center"/>
        <w:rPr>
          <w:rFonts w:ascii="黑体" w:hAnsi="黑体" w:eastAsia="黑体" w:cstheme="minorBidi"/>
          <w:sz w:val="28"/>
          <w:szCs w:val="28"/>
        </w:rPr>
      </w:pPr>
    </w:p>
    <w:p w14:paraId="07171DE9">
      <w:pPr>
        <w:pStyle w:val="11"/>
      </w:pPr>
      <w:r>
        <w:rPr>
          <w:rFonts w:hint="eastAsia"/>
        </w:rPr>
        <w:t>公开时间：202</w:t>
      </w:r>
      <w:r>
        <w:rPr>
          <w:rFonts w:hint="eastAsia"/>
          <w:lang w:val="en-US" w:eastAsia="zh-CN"/>
        </w:rPr>
        <w:t>4</w:t>
      </w:r>
      <w:r>
        <w:rPr>
          <w:rFonts w:hint="eastAsia"/>
        </w:rPr>
        <w:t>年</w:t>
      </w:r>
      <w:r>
        <w:rPr>
          <w:rFonts w:hint="eastAsia"/>
          <w:lang w:val="en-US" w:eastAsia="zh-CN"/>
        </w:rPr>
        <w:t>8</w:t>
      </w:r>
      <w:r>
        <w:rPr>
          <w:rFonts w:hint="eastAsia"/>
        </w:rPr>
        <w:t>月</w:t>
      </w:r>
      <w:r>
        <w:rPr>
          <w:rFonts w:hint="eastAsia"/>
          <w:lang w:val="en-US" w:eastAsia="zh-CN"/>
        </w:rPr>
        <w:t>19</w:t>
      </w:r>
      <w:r>
        <w:rPr>
          <w:rFonts w:hint="eastAsia"/>
        </w:rPr>
        <w:t>日</w:t>
      </w:r>
    </w:p>
    <w:p w14:paraId="28033C4D"/>
    <w:sdt>
      <w:sdtPr>
        <w:rPr>
          <w:rFonts w:ascii="宋体" w:hAnsi="宋体" w:eastAsia="宋体" w:cs="Times New Roman"/>
          <w:kern w:val="2"/>
          <w:sz w:val="21"/>
          <w:szCs w:val="24"/>
          <w:lang w:val="en-US" w:eastAsia="zh-CN" w:bidi="ar-SA"/>
        </w:rPr>
        <w:id w:val="147452698"/>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14:paraId="4241C555">
          <w:pPr>
            <w:spacing w:before="0" w:beforeLines="0" w:after="0" w:afterLines="0" w:line="240" w:lineRule="auto"/>
            <w:ind w:left="0" w:leftChars="0" w:right="0" w:rightChars="0" w:firstLine="0" w:firstLineChars="0"/>
            <w:jc w:val="center"/>
          </w:pPr>
          <w:bookmarkStart w:id="14" w:name="_Toc15396599"/>
          <w:bookmarkStart w:id="15" w:name="_Toc15377196"/>
          <w:r>
            <w:rPr>
              <w:rFonts w:ascii="宋体" w:hAnsi="宋体" w:eastAsia="宋体"/>
              <w:sz w:val="21"/>
            </w:rPr>
            <w:t>目录</w:t>
          </w:r>
        </w:p>
        <w:p w14:paraId="7DA43E05">
          <w:pPr>
            <w:pStyle w:val="34"/>
            <w:tabs>
              <w:tab w:val="right" w:leader="dot" w:pos="8306"/>
            </w:tabs>
            <w:rPr>
              <w:b/>
            </w:rPr>
          </w:pPr>
          <w:r>
            <w:fldChar w:fldCharType="begin"/>
          </w:r>
          <w:r>
            <w:instrText xml:space="preserve">TOC \o "1-2" \h \u </w:instrText>
          </w:r>
          <w:r>
            <w:fldChar w:fldCharType="separate"/>
          </w:r>
        </w:p>
        <w:p w14:paraId="38C27EE4">
          <w:pPr>
            <w:pStyle w:val="34"/>
            <w:tabs>
              <w:tab w:val="right" w:leader="dot" w:pos="8306"/>
            </w:tabs>
            <w:rPr>
              <w:b/>
            </w:rPr>
          </w:pPr>
          <w:r>
            <w:rPr>
              <w:b/>
            </w:rPr>
            <w:fldChar w:fldCharType="begin"/>
          </w:r>
          <w:r>
            <w:rPr>
              <w:b/>
            </w:rPr>
            <w:instrText xml:space="preserve"> HYPERLINK \l _Toc10314 </w:instrText>
          </w:r>
          <w:r>
            <w:rPr>
              <w:b/>
            </w:rPr>
            <w:fldChar w:fldCharType="separate"/>
          </w:r>
          <w:r>
            <w:rPr>
              <w:rFonts w:hint="eastAsia" w:ascii="黑体" w:hAnsi="黑体" w:eastAsia="黑体"/>
              <w:b/>
            </w:rPr>
            <w:t>第一部分 单位</w:t>
          </w:r>
          <w:r>
            <w:rPr>
              <w:rFonts w:hint="eastAsia" w:ascii="黑体" w:hAnsi="黑体" w:eastAsia="黑体"/>
              <w:b/>
              <w:bCs w:val="0"/>
            </w:rPr>
            <w:t>概况</w:t>
          </w:r>
          <w:r>
            <w:rPr>
              <w:b/>
            </w:rPr>
            <w:tab/>
          </w:r>
          <w:r>
            <w:rPr>
              <w:b/>
            </w:rPr>
            <w:fldChar w:fldCharType="begin"/>
          </w:r>
          <w:r>
            <w:rPr>
              <w:b/>
            </w:rPr>
            <w:instrText xml:space="preserve"> PAGEREF _Toc10314 \h </w:instrText>
          </w:r>
          <w:r>
            <w:rPr>
              <w:b/>
            </w:rPr>
            <w:fldChar w:fldCharType="separate"/>
          </w:r>
          <w:r>
            <w:rPr>
              <w:b/>
            </w:rPr>
            <w:t>3</w:t>
          </w:r>
          <w:r>
            <w:rPr>
              <w:b/>
            </w:rPr>
            <w:fldChar w:fldCharType="end"/>
          </w:r>
          <w:r>
            <w:rPr>
              <w:b/>
            </w:rPr>
            <w:fldChar w:fldCharType="end"/>
          </w:r>
        </w:p>
        <w:p w14:paraId="4041867E">
          <w:pPr>
            <w:pStyle w:val="35"/>
            <w:tabs>
              <w:tab w:val="right" w:leader="dot" w:pos="8306"/>
            </w:tabs>
            <w:rPr>
              <w:highlight w:val="none"/>
            </w:rPr>
          </w:pPr>
          <w:r>
            <w:rPr>
              <w:highlight w:val="none"/>
            </w:rPr>
            <w:fldChar w:fldCharType="begin"/>
          </w:r>
          <w:r>
            <w:rPr>
              <w:highlight w:val="none"/>
            </w:rPr>
            <w:instrText xml:space="preserve"> HYPERLINK \l _Toc15294 </w:instrText>
          </w:r>
          <w:r>
            <w:rPr>
              <w:highlight w:val="none"/>
            </w:rPr>
            <w:fldChar w:fldCharType="separate"/>
          </w:r>
          <w:r>
            <w:rPr>
              <w:rFonts w:hint="eastAsia" w:ascii="黑体" w:hAnsi="黑体" w:eastAsia="黑体"/>
              <w:bCs w:val="0"/>
              <w:highlight w:val="none"/>
            </w:rPr>
            <w:t>一、 主要职责</w:t>
          </w:r>
          <w:r>
            <w:rPr>
              <w:highlight w:val="none"/>
            </w:rPr>
            <w:tab/>
          </w:r>
          <w:r>
            <w:rPr>
              <w:highlight w:val="none"/>
            </w:rPr>
            <w:fldChar w:fldCharType="begin"/>
          </w:r>
          <w:r>
            <w:rPr>
              <w:highlight w:val="none"/>
            </w:rPr>
            <w:instrText xml:space="preserve"> PAGEREF _Toc15294 \h </w:instrText>
          </w:r>
          <w:r>
            <w:rPr>
              <w:highlight w:val="none"/>
            </w:rPr>
            <w:fldChar w:fldCharType="separate"/>
          </w:r>
          <w:r>
            <w:rPr>
              <w:highlight w:val="none"/>
            </w:rPr>
            <w:t>3</w:t>
          </w:r>
          <w:r>
            <w:rPr>
              <w:highlight w:val="none"/>
            </w:rPr>
            <w:fldChar w:fldCharType="end"/>
          </w:r>
          <w:r>
            <w:rPr>
              <w:highlight w:val="none"/>
            </w:rPr>
            <w:fldChar w:fldCharType="end"/>
          </w:r>
        </w:p>
        <w:p w14:paraId="0C58CF2D">
          <w:pPr>
            <w:pStyle w:val="35"/>
            <w:tabs>
              <w:tab w:val="right" w:leader="dot" w:pos="8306"/>
            </w:tabs>
          </w:pPr>
          <w:r>
            <w:rPr>
              <w:highlight w:val="none"/>
            </w:rPr>
            <w:fldChar w:fldCharType="begin"/>
          </w:r>
          <w:r>
            <w:rPr>
              <w:highlight w:val="none"/>
            </w:rPr>
            <w:instrText xml:space="preserve"> HYPERLINK \l _Toc5093 </w:instrText>
          </w:r>
          <w:r>
            <w:rPr>
              <w:highlight w:val="none"/>
            </w:rPr>
            <w:fldChar w:fldCharType="separate"/>
          </w:r>
          <w:r>
            <w:rPr>
              <w:rFonts w:hint="eastAsia" w:ascii="黑体" w:hAnsi="黑体" w:eastAsia="黑体"/>
              <w:highlight w:val="none"/>
            </w:rPr>
            <w:t>二、机构设置</w:t>
          </w:r>
          <w:r>
            <w:rPr>
              <w:highlight w:val="none"/>
            </w:rPr>
            <w:tab/>
          </w:r>
          <w:r>
            <w:rPr>
              <w:highlight w:val="none"/>
            </w:rPr>
            <w:fldChar w:fldCharType="begin"/>
          </w:r>
          <w:r>
            <w:rPr>
              <w:highlight w:val="none"/>
            </w:rPr>
            <w:instrText xml:space="preserve"> PAGEREF _Toc5093 \h </w:instrText>
          </w:r>
          <w:r>
            <w:rPr>
              <w:highlight w:val="none"/>
            </w:rPr>
            <w:fldChar w:fldCharType="separate"/>
          </w:r>
          <w:r>
            <w:rPr>
              <w:highlight w:val="none"/>
            </w:rPr>
            <w:t>6</w:t>
          </w:r>
          <w:r>
            <w:rPr>
              <w:highlight w:val="none"/>
            </w:rPr>
            <w:fldChar w:fldCharType="end"/>
          </w:r>
          <w:r>
            <w:rPr>
              <w:highlight w:val="none"/>
            </w:rPr>
            <w:fldChar w:fldCharType="end"/>
          </w:r>
        </w:p>
        <w:p w14:paraId="5B8C9C8E">
          <w:pPr>
            <w:pStyle w:val="34"/>
            <w:tabs>
              <w:tab w:val="right" w:leader="dot" w:pos="8306"/>
            </w:tabs>
            <w:rPr>
              <w:b/>
            </w:rPr>
          </w:pPr>
          <w:r>
            <w:rPr>
              <w:b/>
            </w:rPr>
            <w:fldChar w:fldCharType="begin"/>
          </w:r>
          <w:r>
            <w:rPr>
              <w:b/>
            </w:rPr>
            <w:instrText xml:space="preserve"> HYPERLINK \l _Toc26202 </w:instrText>
          </w:r>
          <w:r>
            <w:rPr>
              <w:b/>
            </w:rPr>
            <w:fldChar w:fldCharType="separate"/>
          </w:r>
          <w:r>
            <w:rPr>
              <w:rFonts w:hint="eastAsia" w:ascii="黑体" w:hAnsi="黑体" w:eastAsia="黑体"/>
              <w:b/>
            </w:rPr>
            <w:t>第二部分 2023年度</w:t>
          </w:r>
          <w:r>
            <w:rPr>
              <w:rFonts w:hint="eastAsia" w:ascii="黑体" w:hAnsi="黑体" w:eastAsia="黑体"/>
              <w:b/>
              <w:bCs/>
            </w:rPr>
            <w:t>单位决算情况说明</w:t>
          </w:r>
          <w:r>
            <w:rPr>
              <w:b/>
            </w:rPr>
            <w:tab/>
          </w:r>
          <w:r>
            <w:rPr>
              <w:b/>
            </w:rPr>
            <w:fldChar w:fldCharType="begin"/>
          </w:r>
          <w:r>
            <w:rPr>
              <w:b/>
            </w:rPr>
            <w:instrText xml:space="preserve"> PAGEREF _Toc26202 \h </w:instrText>
          </w:r>
          <w:r>
            <w:rPr>
              <w:b/>
            </w:rPr>
            <w:fldChar w:fldCharType="separate"/>
          </w:r>
          <w:r>
            <w:rPr>
              <w:b/>
            </w:rPr>
            <w:t>10</w:t>
          </w:r>
          <w:r>
            <w:rPr>
              <w:b/>
            </w:rPr>
            <w:fldChar w:fldCharType="end"/>
          </w:r>
          <w:r>
            <w:rPr>
              <w:b/>
            </w:rPr>
            <w:fldChar w:fldCharType="end"/>
          </w:r>
        </w:p>
        <w:p w14:paraId="16BEC04D">
          <w:pPr>
            <w:pStyle w:val="35"/>
            <w:tabs>
              <w:tab w:val="right" w:leader="dot" w:pos="8306"/>
            </w:tabs>
          </w:pPr>
          <w:r>
            <w:fldChar w:fldCharType="begin"/>
          </w:r>
          <w:r>
            <w:instrText xml:space="preserve"> HYPERLINK \l _Toc26347 </w:instrText>
          </w:r>
          <w:r>
            <w:fldChar w:fldCharType="separate"/>
          </w:r>
          <w:r>
            <w:rPr>
              <w:rFonts w:hint="default" w:ascii="黑体" w:hAnsi="黑体" w:eastAsia="黑体"/>
            </w:rPr>
            <w:t xml:space="preserve">一、 </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_Toc26347 \h </w:instrText>
          </w:r>
          <w:r>
            <w:fldChar w:fldCharType="separate"/>
          </w:r>
          <w:r>
            <w:t>10</w:t>
          </w:r>
          <w:r>
            <w:fldChar w:fldCharType="end"/>
          </w:r>
          <w:r>
            <w:fldChar w:fldCharType="end"/>
          </w:r>
        </w:p>
        <w:p w14:paraId="3E96A07E">
          <w:pPr>
            <w:pStyle w:val="35"/>
            <w:tabs>
              <w:tab w:val="right" w:leader="dot" w:pos="8306"/>
            </w:tabs>
          </w:pPr>
          <w:r>
            <w:fldChar w:fldCharType="begin"/>
          </w:r>
          <w:r>
            <w:instrText xml:space="preserve"> HYPERLINK \l _Toc9047 </w:instrText>
          </w:r>
          <w:r>
            <w:fldChar w:fldCharType="separate"/>
          </w:r>
          <w:r>
            <w:rPr>
              <w:rFonts w:hint="default" w:ascii="黑体" w:hAnsi="黑体" w:eastAsia="黑体"/>
            </w:rPr>
            <w:t xml:space="preserve">二、 </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_Toc9047 \h </w:instrText>
          </w:r>
          <w:r>
            <w:fldChar w:fldCharType="separate"/>
          </w:r>
          <w:r>
            <w:t>11</w:t>
          </w:r>
          <w:r>
            <w:fldChar w:fldCharType="end"/>
          </w:r>
          <w:r>
            <w:fldChar w:fldCharType="end"/>
          </w:r>
        </w:p>
        <w:p w14:paraId="5BE22FF7">
          <w:pPr>
            <w:pStyle w:val="35"/>
            <w:tabs>
              <w:tab w:val="right" w:leader="dot" w:pos="8306"/>
            </w:tabs>
          </w:pPr>
          <w:r>
            <w:fldChar w:fldCharType="begin"/>
          </w:r>
          <w:r>
            <w:instrText xml:space="preserve"> HYPERLINK \l _Toc33 </w:instrText>
          </w:r>
          <w:r>
            <w:fldChar w:fldCharType="separate"/>
          </w:r>
          <w:r>
            <w:rPr>
              <w:rFonts w:hint="default" w:ascii="黑体" w:hAnsi="黑体" w:eastAsia="黑体"/>
            </w:rPr>
            <w:t xml:space="preserve">三、 </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_Toc33 \h </w:instrText>
          </w:r>
          <w:r>
            <w:fldChar w:fldCharType="separate"/>
          </w:r>
          <w:r>
            <w:t>11</w:t>
          </w:r>
          <w:r>
            <w:fldChar w:fldCharType="end"/>
          </w:r>
          <w:r>
            <w:fldChar w:fldCharType="end"/>
          </w:r>
        </w:p>
        <w:p w14:paraId="2F3A4BD6">
          <w:pPr>
            <w:pStyle w:val="35"/>
            <w:tabs>
              <w:tab w:val="right" w:leader="dot" w:pos="8306"/>
            </w:tabs>
          </w:pPr>
          <w:r>
            <w:fldChar w:fldCharType="begin"/>
          </w:r>
          <w:r>
            <w:instrText xml:space="preserve"> HYPERLINK \l _Toc15560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_Toc15560 \h </w:instrText>
          </w:r>
          <w:r>
            <w:fldChar w:fldCharType="separate"/>
          </w:r>
          <w:r>
            <w:t>12</w:t>
          </w:r>
          <w:r>
            <w:fldChar w:fldCharType="end"/>
          </w:r>
          <w:r>
            <w:fldChar w:fldCharType="end"/>
          </w:r>
        </w:p>
        <w:p w14:paraId="22AD171E">
          <w:pPr>
            <w:pStyle w:val="35"/>
            <w:tabs>
              <w:tab w:val="right" w:leader="dot" w:pos="8306"/>
            </w:tabs>
          </w:pPr>
          <w:r>
            <w:fldChar w:fldCharType="begin"/>
          </w:r>
          <w:r>
            <w:instrText xml:space="preserve"> HYPERLINK \l _Toc10306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_Toc10306 \h </w:instrText>
          </w:r>
          <w:r>
            <w:fldChar w:fldCharType="separate"/>
          </w:r>
          <w:r>
            <w:t>12</w:t>
          </w:r>
          <w:r>
            <w:fldChar w:fldCharType="end"/>
          </w:r>
          <w:r>
            <w:fldChar w:fldCharType="end"/>
          </w:r>
        </w:p>
        <w:p w14:paraId="09B6BA96">
          <w:pPr>
            <w:pStyle w:val="35"/>
            <w:tabs>
              <w:tab w:val="right" w:leader="dot" w:pos="8306"/>
            </w:tabs>
          </w:pPr>
          <w:r>
            <w:fldChar w:fldCharType="begin"/>
          </w:r>
          <w:r>
            <w:instrText xml:space="preserve"> HYPERLINK \l _Toc10344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_Toc10344 \h </w:instrText>
          </w:r>
          <w:r>
            <w:fldChar w:fldCharType="separate"/>
          </w:r>
          <w:r>
            <w:t>15</w:t>
          </w:r>
          <w:r>
            <w:fldChar w:fldCharType="end"/>
          </w:r>
          <w:r>
            <w:fldChar w:fldCharType="end"/>
          </w:r>
        </w:p>
        <w:p w14:paraId="3176095E">
          <w:pPr>
            <w:pStyle w:val="35"/>
            <w:tabs>
              <w:tab w:val="right" w:leader="dot" w:pos="8306"/>
            </w:tabs>
          </w:pPr>
          <w:r>
            <w:fldChar w:fldCharType="begin"/>
          </w:r>
          <w:r>
            <w:instrText xml:space="preserve"> HYPERLINK \l _Toc14919 </w:instrText>
          </w:r>
          <w:r>
            <w:fldChar w:fldCharType="separate"/>
          </w:r>
          <w:r>
            <w:rPr>
              <w:rFonts w:hint="eastAsia" w:ascii="黑体" w:eastAsia="黑体"/>
              <w:szCs w:val="32"/>
            </w:rPr>
            <w:t>七、</w:t>
          </w:r>
          <w:r>
            <w:rPr>
              <w:rFonts w:hint="eastAsia" w:ascii="黑体" w:hAnsi="黑体" w:eastAsia="黑体"/>
            </w:rPr>
            <w:t>财政拨款“三公”经费支出决算情况说明</w:t>
          </w:r>
          <w:r>
            <w:tab/>
          </w:r>
          <w:r>
            <w:fldChar w:fldCharType="begin"/>
          </w:r>
          <w:r>
            <w:instrText xml:space="preserve"> PAGEREF _Toc14919 \h </w:instrText>
          </w:r>
          <w:r>
            <w:fldChar w:fldCharType="separate"/>
          </w:r>
          <w:r>
            <w:t>16</w:t>
          </w:r>
          <w:r>
            <w:fldChar w:fldCharType="end"/>
          </w:r>
          <w:r>
            <w:fldChar w:fldCharType="end"/>
          </w:r>
        </w:p>
        <w:p w14:paraId="32A701B6">
          <w:pPr>
            <w:pStyle w:val="35"/>
            <w:tabs>
              <w:tab w:val="right" w:leader="dot" w:pos="8306"/>
            </w:tabs>
          </w:pPr>
          <w:r>
            <w:fldChar w:fldCharType="begin"/>
          </w:r>
          <w:r>
            <w:instrText xml:space="preserve"> HYPERLINK \l _Toc21855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_Toc21855 \h </w:instrText>
          </w:r>
          <w:r>
            <w:fldChar w:fldCharType="separate"/>
          </w:r>
          <w:r>
            <w:t>18</w:t>
          </w:r>
          <w:r>
            <w:fldChar w:fldCharType="end"/>
          </w:r>
          <w:r>
            <w:fldChar w:fldCharType="end"/>
          </w:r>
        </w:p>
        <w:p w14:paraId="3E87787F">
          <w:pPr>
            <w:pStyle w:val="35"/>
            <w:tabs>
              <w:tab w:val="right" w:leader="dot" w:pos="8306"/>
            </w:tabs>
          </w:pPr>
          <w:r>
            <w:fldChar w:fldCharType="begin"/>
          </w:r>
          <w:r>
            <w:instrText xml:space="preserve"> HYPERLINK \l _Toc15725 </w:instrText>
          </w:r>
          <w:r>
            <w:fldChar w:fldCharType="separate"/>
          </w:r>
          <w:r>
            <w:rPr>
              <w:rFonts w:hint="eastAsia" w:ascii="黑体" w:hAnsi="黑体" w:eastAsia="黑体"/>
            </w:rPr>
            <w:t>九、 国有资本经营预算支出决算情况说明</w:t>
          </w:r>
          <w:r>
            <w:tab/>
          </w:r>
          <w:r>
            <w:fldChar w:fldCharType="begin"/>
          </w:r>
          <w:r>
            <w:instrText xml:space="preserve"> PAGEREF _Toc15725 \h </w:instrText>
          </w:r>
          <w:r>
            <w:fldChar w:fldCharType="separate"/>
          </w:r>
          <w:r>
            <w:t>18</w:t>
          </w:r>
          <w:r>
            <w:fldChar w:fldCharType="end"/>
          </w:r>
          <w:r>
            <w:fldChar w:fldCharType="end"/>
          </w:r>
        </w:p>
        <w:p w14:paraId="23188280">
          <w:pPr>
            <w:pStyle w:val="35"/>
            <w:tabs>
              <w:tab w:val="right" w:leader="dot" w:pos="8306"/>
            </w:tabs>
          </w:pPr>
          <w:r>
            <w:fldChar w:fldCharType="begin"/>
          </w:r>
          <w:r>
            <w:instrText xml:space="preserve"> HYPERLINK \l _Toc5878 </w:instrText>
          </w:r>
          <w:r>
            <w:fldChar w:fldCharType="separate"/>
          </w:r>
          <w:r>
            <w:rPr>
              <w:rFonts w:hint="eastAsia" w:ascii="黑体" w:hAnsi="黑体" w:eastAsia="黑体"/>
            </w:rPr>
            <w:t>十、 其他重要事项的情况说明</w:t>
          </w:r>
          <w:r>
            <w:tab/>
          </w:r>
          <w:r>
            <w:fldChar w:fldCharType="begin"/>
          </w:r>
          <w:r>
            <w:instrText xml:space="preserve"> PAGEREF _Toc5878 \h </w:instrText>
          </w:r>
          <w:r>
            <w:fldChar w:fldCharType="separate"/>
          </w:r>
          <w:r>
            <w:t>18</w:t>
          </w:r>
          <w:r>
            <w:fldChar w:fldCharType="end"/>
          </w:r>
          <w:r>
            <w:fldChar w:fldCharType="end"/>
          </w:r>
        </w:p>
        <w:p w14:paraId="26F77602">
          <w:pPr>
            <w:pStyle w:val="34"/>
            <w:tabs>
              <w:tab w:val="right" w:leader="dot" w:pos="8306"/>
            </w:tabs>
            <w:rPr>
              <w:b/>
            </w:rPr>
          </w:pPr>
          <w:r>
            <w:rPr>
              <w:b/>
            </w:rPr>
            <w:fldChar w:fldCharType="begin"/>
          </w:r>
          <w:r>
            <w:rPr>
              <w:b/>
            </w:rPr>
            <w:instrText xml:space="preserve"> HYPERLINK \l _Toc23596 </w:instrText>
          </w:r>
          <w:r>
            <w:rPr>
              <w:b/>
            </w:rPr>
            <w:fldChar w:fldCharType="separate"/>
          </w:r>
          <w:r>
            <w:rPr>
              <w:rFonts w:hint="eastAsia" w:ascii="黑体" w:hAnsi="黑体" w:eastAsia="黑体" w:cs="黑体"/>
              <w:b/>
              <w:szCs w:val="44"/>
            </w:rPr>
            <w:t xml:space="preserve">第三部分 </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_Toc23596 \h </w:instrText>
          </w:r>
          <w:r>
            <w:rPr>
              <w:b/>
            </w:rPr>
            <w:fldChar w:fldCharType="separate"/>
          </w:r>
          <w:r>
            <w:rPr>
              <w:b/>
            </w:rPr>
            <w:t>20</w:t>
          </w:r>
          <w:r>
            <w:rPr>
              <w:b/>
            </w:rPr>
            <w:fldChar w:fldCharType="end"/>
          </w:r>
          <w:r>
            <w:rPr>
              <w:b/>
            </w:rPr>
            <w:fldChar w:fldCharType="end"/>
          </w:r>
        </w:p>
        <w:p w14:paraId="53EEE9AB">
          <w:pPr>
            <w:pStyle w:val="34"/>
            <w:tabs>
              <w:tab w:val="right" w:leader="dot" w:pos="8306"/>
            </w:tabs>
            <w:rPr>
              <w:b/>
            </w:rPr>
          </w:pPr>
          <w:r>
            <w:rPr>
              <w:b/>
            </w:rPr>
            <w:fldChar w:fldCharType="begin"/>
          </w:r>
          <w:r>
            <w:rPr>
              <w:b/>
            </w:rPr>
            <w:instrText xml:space="preserve"> HYPERLINK \l _Toc6537 </w:instrText>
          </w:r>
          <w:r>
            <w:rPr>
              <w:b/>
            </w:rPr>
            <w:fldChar w:fldCharType="separate"/>
          </w:r>
          <w:r>
            <w:rPr>
              <w:rFonts w:hint="eastAsia" w:ascii="黑体" w:hAnsi="黑体" w:eastAsia="黑体"/>
              <w:b/>
              <w:szCs w:val="44"/>
            </w:rPr>
            <w:t>第</w:t>
          </w:r>
          <w:r>
            <w:rPr>
              <w:rFonts w:hint="eastAsia" w:ascii="黑体" w:hAnsi="黑体" w:eastAsia="黑体"/>
              <w:b/>
            </w:rPr>
            <w:t>四部分 附件</w:t>
          </w:r>
          <w:r>
            <w:rPr>
              <w:b/>
            </w:rPr>
            <w:tab/>
          </w:r>
          <w:r>
            <w:rPr>
              <w:b/>
            </w:rPr>
            <w:fldChar w:fldCharType="begin"/>
          </w:r>
          <w:r>
            <w:rPr>
              <w:b/>
            </w:rPr>
            <w:instrText xml:space="preserve"> PAGEREF _Toc6537 \h </w:instrText>
          </w:r>
          <w:r>
            <w:rPr>
              <w:b/>
            </w:rPr>
            <w:fldChar w:fldCharType="separate"/>
          </w:r>
          <w:r>
            <w:rPr>
              <w:b/>
            </w:rPr>
            <w:t>23</w:t>
          </w:r>
          <w:r>
            <w:rPr>
              <w:b/>
            </w:rPr>
            <w:fldChar w:fldCharType="end"/>
          </w:r>
          <w:r>
            <w:rPr>
              <w:b/>
            </w:rPr>
            <w:fldChar w:fldCharType="end"/>
          </w:r>
        </w:p>
        <w:p w14:paraId="658D55B8">
          <w:pPr>
            <w:pStyle w:val="35"/>
            <w:tabs>
              <w:tab w:val="right" w:leader="dot" w:pos="8306"/>
            </w:tabs>
          </w:pPr>
          <w:r>
            <w:fldChar w:fldCharType="begin"/>
          </w:r>
          <w:r>
            <w:instrText xml:space="preserve"> HYPERLINK \l _Toc32593 </w:instrText>
          </w:r>
          <w:r>
            <w:fldChar w:fldCharType="separate"/>
          </w:r>
          <w:r>
            <w:rPr>
              <w:rFonts w:hint="eastAsia"/>
              <w:szCs w:val="32"/>
            </w:rPr>
            <w:t>部门预算项目支出绩效自评表（2023年度）</w:t>
          </w:r>
          <w:r>
            <w:tab/>
          </w:r>
          <w:r>
            <w:fldChar w:fldCharType="begin"/>
          </w:r>
          <w:r>
            <w:instrText xml:space="preserve"> PAGEREF _Toc32593 \h </w:instrText>
          </w:r>
          <w:r>
            <w:fldChar w:fldCharType="separate"/>
          </w:r>
          <w:r>
            <w:t>23</w:t>
          </w:r>
          <w:r>
            <w:fldChar w:fldCharType="end"/>
          </w:r>
          <w:r>
            <w:fldChar w:fldCharType="end"/>
          </w:r>
        </w:p>
        <w:p w14:paraId="3FA97D12">
          <w:pPr>
            <w:pStyle w:val="34"/>
            <w:tabs>
              <w:tab w:val="right" w:leader="dot" w:pos="8306"/>
            </w:tabs>
            <w:rPr>
              <w:b/>
            </w:rPr>
          </w:pPr>
          <w:r>
            <w:rPr>
              <w:b/>
            </w:rPr>
            <w:fldChar w:fldCharType="begin"/>
          </w:r>
          <w:r>
            <w:rPr>
              <w:b/>
            </w:rPr>
            <w:instrText xml:space="preserve"> HYPERLINK \l _Toc30587 </w:instrText>
          </w:r>
          <w:r>
            <w:rPr>
              <w:b/>
            </w:rPr>
            <w:fldChar w:fldCharType="separate"/>
          </w:r>
          <w:r>
            <w:rPr>
              <w:rFonts w:hint="eastAsia" w:ascii="黑体" w:hAnsi="黑体" w:eastAsia="黑体"/>
              <w:b/>
              <w:szCs w:val="44"/>
            </w:rPr>
            <w:t>第</w:t>
          </w:r>
          <w:r>
            <w:rPr>
              <w:rFonts w:hint="eastAsia" w:ascii="黑体" w:hAnsi="黑体" w:eastAsia="黑体"/>
              <w:b/>
            </w:rPr>
            <w:t>五部分 附表</w:t>
          </w:r>
          <w:r>
            <w:rPr>
              <w:b/>
            </w:rPr>
            <w:tab/>
          </w:r>
          <w:r>
            <w:rPr>
              <w:b/>
            </w:rPr>
            <w:fldChar w:fldCharType="begin"/>
          </w:r>
          <w:r>
            <w:rPr>
              <w:b/>
            </w:rPr>
            <w:instrText xml:space="preserve"> PAGEREF _Toc30587 \h </w:instrText>
          </w:r>
          <w:r>
            <w:rPr>
              <w:b/>
            </w:rPr>
            <w:fldChar w:fldCharType="separate"/>
          </w:r>
          <w:r>
            <w:rPr>
              <w:b/>
            </w:rPr>
            <w:t>24</w:t>
          </w:r>
          <w:r>
            <w:rPr>
              <w:b/>
            </w:rPr>
            <w:fldChar w:fldCharType="end"/>
          </w:r>
          <w:r>
            <w:rPr>
              <w:b/>
            </w:rPr>
            <w:fldChar w:fldCharType="end"/>
          </w:r>
        </w:p>
        <w:p w14:paraId="13DB4A87">
          <w:pPr>
            <w:pStyle w:val="35"/>
            <w:tabs>
              <w:tab w:val="right" w:leader="dot" w:pos="8306"/>
            </w:tabs>
          </w:pPr>
          <w:r>
            <w:fldChar w:fldCharType="begin"/>
          </w:r>
          <w:r>
            <w:instrText xml:space="preserve"> HYPERLINK \l _Toc21480 </w:instrText>
          </w:r>
          <w:r>
            <w:fldChar w:fldCharType="separate"/>
          </w:r>
          <w:r>
            <w:rPr>
              <w:rFonts w:hint="eastAsia" w:ascii="仿宋" w:hAnsi="仿宋" w:eastAsia="仿宋"/>
            </w:rPr>
            <w:t>一、收</w:t>
          </w:r>
          <w:r>
            <w:rPr>
              <w:rFonts w:hint="eastAsia" w:ascii="仿宋" w:hAnsi="仿宋" w:eastAsia="仿宋"/>
              <w:bCs w:val="0"/>
            </w:rPr>
            <w:t>入支出决算总表</w:t>
          </w:r>
          <w:r>
            <w:tab/>
          </w:r>
          <w:r>
            <w:fldChar w:fldCharType="begin"/>
          </w:r>
          <w:r>
            <w:instrText xml:space="preserve"> PAGEREF _Toc21480 \h </w:instrText>
          </w:r>
          <w:r>
            <w:fldChar w:fldCharType="separate"/>
          </w:r>
          <w:r>
            <w:t>24</w:t>
          </w:r>
          <w:r>
            <w:fldChar w:fldCharType="end"/>
          </w:r>
          <w:r>
            <w:fldChar w:fldCharType="end"/>
          </w:r>
        </w:p>
        <w:p w14:paraId="153C6CC3">
          <w:pPr>
            <w:pStyle w:val="35"/>
            <w:tabs>
              <w:tab w:val="right" w:leader="dot" w:pos="8306"/>
            </w:tabs>
          </w:pPr>
          <w:r>
            <w:fldChar w:fldCharType="begin"/>
          </w:r>
          <w:r>
            <w:instrText xml:space="preserve"> HYPERLINK \l _Toc27536 </w:instrText>
          </w:r>
          <w:r>
            <w:fldChar w:fldCharType="separate"/>
          </w:r>
          <w:r>
            <w:rPr>
              <w:rFonts w:hint="eastAsia" w:ascii="仿宋" w:hAnsi="仿宋" w:eastAsia="仿宋"/>
            </w:rPr>
            <w:t>二、收</w:t>
          </w:r>
          <w:r>
            <w:rPr>
              <w:rFonts w:hint="eastAsia" w:ascii="仿宋" w:hAnsi="仿宋" w:eastAsia="仿宋"/>
              <w:bCs w:val="0"/>
            </w:rPr>
            <w:t>入决算表</w:t>
          </w:r>
          <w:r>
            <w:tab/>
          </w:r>
          <w:r>
            <w:fldChar w:fldCharType="begin"/>
          </w:r>
          <w:r>
            <w:instrText xml:space="preserve"> PAGEREF _Toc27536 \h </w:instrText>
          </w:r>
          <w:r>
            <w:fldChar w:fldCharType="separate"/>
          </w:r>
          <w:r>
            <w:t>24</w:t>
          </w:r>
          <w:r>
            <w:fldChar w:fldCharType="end"/>
          </w:r>
          <w:r>
            <w:fldChar w:fldCharType="end"/>
          </w:r>
        </w:p>
        <w:p w14:paraId="1B568A8D">
          <w:pPr>
            <w:pStyle w:val="35"/>
            <w:tabs>
              <w:tab w:val="right" w:leader="dot" w:pos="8306"/>
            </w:tabs>
          </w:pPr>
          <w:r>
            <w:fldChar w:fldCharType="begin"/>
          </w:r>
          <w:r>
            <w:instrText xml:space="preserve"> HYPERLINK \l _Toc27326 </w:instrText>
          </w:r>
          <w:r>
            <w:fldChar w:fldCharType="separate"/>
          </w:r>
          <w:r>
            <w:rPr>
              <w:rFonts w:hint="eastAsia" w:ascii="仿宋" w:hAnsi="仿宋" w:eastAsia="仿宋"/>
              <w:bCs w:val="0"/>
            </w:rPr>
            <w:t>三、</w:t>
          </w:r>
          <w:r>
            <w:rPr>
              <w:rFonts w:hint="eastAsia" w:ascii="仿宋" w:hAnsi="仿宋" w:eastAsia="仿宋"/>
            </w:rPr>
            <w:t>支</w:t>
          </w:r>
          <w:r>
            <w:rPr>
              <w:rFonts w:hint="eastAsia" w:ascii="仿宋" w:hAnsi="仿宋" w:eastAsia="仿宋"/>
              <w:bCs w:val="0"/>
            </w:rPr>
            <w:t>出决算表</w:t>
          </w:r>
          <w:r>
            <w:tab/>
          </w:r>
          <w:r>
            <w:fldChar w:fldCharType="begin"/>
          </w:r>
          <w:r>
            <w:instrText xml:space="preserve"> PAGEREF _Toc27326 \h </w:instrText>
          </w:r>
          <w:r>
            <w:fldChar w:fldCharType="separate"/>
          </w:r>
          <w:r>
            <w:t>24</w:t>
          </w:r>
          <w:r>
            <w:fldChar w:fldCharType="end"/>
          </w:r>
          <w:r>
            <w:fldChar w:fldCharType="end"/>
          </w:r>
        </w:p>
        <w:p w14:paraId="277BC14D">
          <w:pPr>
            <w:pStyle w:val="35"/>
            <w:tabs>
              <w:tab w:val="right" w:leader="dot" w:pos="8306"/>
            </w:tabs>
          </w:pPr>
          <w:r>
            <w:fldChar w:fldCharType="begin"/>
          </w:r>
          <w:r>
            <w:instrText xml:space="preserve"> HYPERLINK \l _Toc29685 </w:instrText>
          </w:r>
          <w:r>
            <w:fldChar w:fldCharType="separate"/>
          </w:r>
          <w:r>
            <w:rPr>
              <w:rFonts w:hint="eastAsia" w:ascii="仿宋" w:hAnsi="仿宋" w:eastAsia="仿宋"/>
              <w:bCs w:val="0"/>
            </w:rPr>
            <w:t>四、</w:t>
          </w:r>
          <w:r>
            <w:rPr>
              <w:rFonts w:hint="eastAsia" w:ascii="仿宋" w:hAnsi="仿宋" w:eastAsia="仿宋"/>
            </w:rPr>
            <w:t>财</w:t>
          </w:r>
          <w:r>
            <w:rPr>
              <w:rFonts w:hint="eastAsia" w:ascii="仿宋" w:hAnsi="仿宋" w:eastAsia="仿宋"/>
              <w:bCs w:val="0"/>
            </w:rPr>
            <w:t>政拨款收入支出决算总表</w:t>
          </w:r>
          <w:r>
            <w:tab/>
          </w:r>
          <w:r>
            <w:fldChar w:fldCharType="begin"/>
          </w:r>
          <w:r>
            <w:instrText xml:space="preserve"> PAGEREF _Toc29685 \h </w:instrText>
          </w:r>
          <w:r>
            <w:fldChar w:fldCharType="separate"/>
          </w:r>
          <w:r>
            <w:t>24</w:t>
          </w:r>
          <w:r>
            <w:fldChar w:fldCharType="end"/>
          </w:r>
          <w:r>
            <w:fldChar w:fldCharType="end"/>
          </w:r>
        </w:p>
        <w:p w14:paraId="1DDC6D6F">
          <w:pPr>
            <w:pStyle w:val="35"/>
            <w:tabs>
              <w:tab w:val="right" w:leader="dot" w:pos="8306"/>
            </w:tabs>
          </w:pPr>
          <w:r>
            <w:fldChar w:fldCharType="begin"/>
          </w:r>
          <w:r>
            <w:instrText xml:space="preserve"> HYPERLINK \l _Toc30843 </w:instrText>
          </w:r>
          <w:r>
            <w:fldChar w:fldCharType="separate"/>
          </w:r>
          <w:r>
            <w:rPr>
              <w:rFonts w:hint="eastAsia" w:ascii="仿宋" w:hAnsi="仿宋" w:eastAsia="仿宋"/>
              <w:bCs w:val="0"/>
            </w:rPr>
            <w:t>五、</w:t>
          </w:r>
          <w:r>
            <w:rPr>
              <w:rFonts w:hint="eastAsia" w:ascii="仿宋" w:hAnsi="仿宋" w:eastAsia="仿宋"/>
            </w:rPr>
            <w:t>财</w:t>
          </w:r>
          <w:r>
            <w:rPr>
              <w:rFonts w:hint="eastAsia" w:ascii="仿宋" w:hAnsi="仿宋" w:eastAsia="仿宋"/>
              <w:bCs w:val="0"/>
            </w:rPr>
            <w:t>政拨款支出决算明细表</w:t>
          </w:r>
          <w:r>
            <w:tab/>
          </w:r>
          <w:r>
            <w:fldChar w:fldCharType="begin"/>
          </w:r>
          <w:r>
            <w:instrText xml:space="preserve"> PAGEREF _Toc30843 \h </w:instrText>
          </w:r>
          <w:r>
            <w:fldChar w:fldCharType="separate"/>
          </w:r>
          <w:r>
            <w:t>24</w:t>
          </w:r>
          <w:r>
            <w:fldChar w:fldCharType="end"/>
          </w:r>
          <w:r>
            <w:fldChar w:fldCharType="end"/>
          </w:r>
        </w:p>
        <w:p w14:paraId="4B16B706">
          <w:pPr>
            <w:pStyle w:val="35"/>
            <w:tabs>
              <w:tab w:val="right" w:leader="dot" w:pos="8306"/>
            </w:tabs>
          </w:pPr>
          <w:r>
            <w:fldChar w:fldCharType="begin"/>
          </w:r>
          <w:r>
            <w:instrText xml:space="preserve"> HYPERLINK \l _Toc11549 </w:instrText>
          </w:r>
          <w:r>
            <w:fldChar w:fldCharType="separate"/>
          </w:r>
          <w:r>
            <w:rPr>
              <w:rFonts w:hint="eastAsia" w:ascii="仿宋" w:hAnsi="仿宋" w:eastAsia="仿宋"/>
              <w:bCs w:val="0"/>
            </w:rPr>
            <w:t>六、</w:t>
          </w:r>
          <w:r>
            <w:rPr>
              <w:rFonts w:hint="eastAsia" w:ascii="仿宋" w:hAnsi="仿宋" w:eastAsia="仿宋"/>
            </w:rPr>
            <w:t>一</w:t>
          </w:r>
          <w:r>
            <w:rPr>
              <w:rFonts w:hint="eastAsia" w:ascii="仿宋" w:hAnsi="仿宋" w:eastAsia="仿宋"/>
              <w:bCs w:val="0"/>
            </w:rPr>
            <w:t>般公共预算财政拨款支出决算表</w:t>
          </w:r>
          <w:r>
            <w:tab/>
          </w:r>
          <w:r>
            <w:fldChar w:fldCharType="begin"/>
          </w:r>
          <w:r>
            <w:instrText xml:space="preserve"> PAGEREF _Toc11549 \h </w:instrText>
          </w:r>
          <w:r>
            <w:fldChar w:fldCharType="separate"/>
          </w:r>
          <w:r>
            <w:t>24</w:t>
          </w:r>
          <w:r>
            <w:fldChar w:fldCharType="end"/>
          </w:r>
          <w:r>
            <w:fldChar w:fldCharType="end"/>
          </w:r>
        </w:p>
        <w:p w14:paraId="49227C2D">
          <w:pPr>
            <w:pStyle w:val="35"/>
            <w:tabs>
              <w:tab w:val="right" w:leader="dot" w:pos="8306"/>
            </w:tabs>
          </w:pPr>
          <w:r>
            <w:fldChar w:fldCharType="begin"/>
          </w:r>
          <w:r>
            <w:instrText xml:space="preserve"> HYPERLINK \l _Toc8326 </w:instrText>
          </w:r>
          <w:r>
            <w:fldChar w:fldCharType="separate"/>
          </w:r>
          <w:r>
            <w:rPr>
              <w:rFonts w:hint="eastAsia" w:ascii="仿宋" w:hAnsi="仿宋" w:eastAsia="仿宋"/>
              <w:bCs w:val="0"/>
            </w:rPr>
            <w:t>七、</w:t>
          </w:r>
          <w:r>
            <w:rPr>
              <w:rFonts w:hint="eastAsia" w:ascii="仿宋" w:hAnsi="仿宋" w:eastAsia="仿宋"/>
            </w:rPr>
            <w:t>一</w:t>
          </w:r>
          <w:r>
            <w:rPr>
              <w:rFonts w:hint="eastAsia" w:ascii="仿宋" w:hAnsi="仿宋" w:eastAsia="仿宋"/>
              <w:bCs w:val="0"/>
            </w:rPr>
            <w:t>般公共预算财政拨款支出决算明细表</w:t>
          </w:r>
          <w:r>
            <w:tab/>
          </w:r>
          <w:r>
            <w:fldChar w:fldCharType="begin"/>
          </w:r>
          <w:r>
            <w:instrText xml:space="preserve"> PAGEREF _Toc8326 \h </w:instrText>
          </w:r>
          <w:r>
            <w:fldChar w:fldCharType="separate"/>
          </w:r>
          <w:r>
            <w:t>24</w:t>
          </w:r>
          <w:r>
            <w:fldChar w:fldCharType="end"/>
          </w:r>
          <w:r>
            <w:fldChar w:fldCharType="end"/>
          </w:r>
        </w:p>
        <w:p w14:paraId="230D8552">
          <w:pPr>
            <w:pStyle w:val="35"/>
            <w:tabs>
              <w:tab w:val="right" w:leader="dot" w:pos="8306"/>
            </w:tabs>
          </w:pPr>
          <w:r>
            <w:fldChar w:fldCharType="begin"/>
          </w:r>
          <w:r>
            <w:instrText xml:space="preserve"> HYPERLINK \l _Toc19084 </w:instrText>
          </w:r>
          <w:r>
            <w:fldChar w:fldCharType="separate"/>
          </w:r>
          <w:r>
            <w:rPr>
              <w:rFonts w:hint="eastAsia" w:ascii="仿宋" w:hAnsi="仿宋" w:eastAsia="仿宋"/>
              <w:bCs w:val="0"/>
            </w:rPr>
            <w:t>八、</w:t>
          </w:r>
          <w:r>
            <w:rPr>
              <w:rFonts w:hint="eastAsia" w:ascii="仿宋" w:hAnsi="仿宋" w:eastAsia="仿宋"/>
            </w:rPr>
            <w:t>一</w:t>
          </w:r>
          <w:r>
            <w:rPr>
              <w:rFonts w:hint="eastAsia" w:ascii="仿宋" w:hAnsi="仿宋" w:eastAsia="仿宋"/>
              <w:bCs w:val="0"/>
            </w:rPr>
            <w:t>般公共预算财政拨款基本支出决算表</w:t>
          </w:r>
          <w:r>
            <w:tab/>
          </w:r>
          <w:r>
            <w:fldChar w:fldCharType="begin"/>
          </w:r>
          <w:r>
            <w:instrText xml:space="preserve"> PAGEREF _Toc19084 \h </w:instrText>
          </w:r>
          <w:r>
            <w:fldChar w:fldCharType="separate"/>
          </w:r>
          <w:r>
            <w:t>24</w:t>
          </w:r>
          <w:r>
            <w:fldChar w:fldCharType="end"/>
          </w:r>
          <w:r>
            <w:fldChar w:fldCharType="end"/>
          </w:r>
        </w:p>
        <w:p w14:paraId="7DE3D283">
          <w:pPr>
            <w:pStyle w:val="35"/>
            <w:tabs>
              <w:tab w:val="right" w:leader="dot" w:pos="8306"/>
            </w:tabs>
          </w:pPr>
          <w:r>
            <w:fldChar w:fldCharType="begin"/>
          </w:r>
          <w:r>
            <w:instrText xml:space="preserve"> HYPERLINK \l _Toc22317 </w:instrText>
          </w:r>
          <w:r>
            <w:fldChar w:fldCharType="separate"/>
          </w:r>
          <w:r>
            <w:rPr>
              <w:rFonts w:hint="eastAsia" w:ascii="仿宋" w:hAnsi="仿宋" w:eastAsia="仿宋"/>
              <w:bCs w:val="0"/>
            </w:rPr>
            <w:t>九、</w:t>
          </w:r>
          <w:r>
            <w:rPr>
              <w:rFonts w:hint="eastAsia" w:ascii="仿宋" w:hAnsi="仿宋" w:eastAsia="仿宋"/>
            </w:rPr>
            <w:t>一</w:t>
          </w:r>
          <w:r>
            <w:rPr>
              <w:rFonts w:hint="eastAsia" w:ascii="仿宋" w:hAnsi="仿宋" w:eastAsia="仿宋"/>
              <w:bCs w:val="0"/>
            </w:rPr>
            <w:t>般公共预算财政拨款项目支出决算表</w:t>
          </w:r>
          <w:r>
            <w:tab/>
          </w:r>
          <w:r>
            <w:fldChar w:fldCharType="begin"/>
          </w:r>
          <w:r>
            <w:instrText xml:space="preserve"> PAGEREF _Toc22317 \h </w:instrText>
          </w:r>
          <w:r>
            <w:fldChar w:fldCharType="separate"/>
          </w:r>
          <w:r>
            <w:t>24</w:t>
          </w:r>
          <w:r>
            <w:fldChar w:fldCharType="end"/>
          </w:r>
          <w:r>
            <w:fldChar w:fldCharType="end"/>
          </w:r>
        </w:p>
        <w:p w14:paraId="3034C142">
          <w:pPr>
            <w:pStyle w:val="35"/>
            <w:tabs>
              <w:tab w:val="right" w:leader="dot" w:pos="8306"/>
            </w:tabs>
          </w:pPr>
          <w:r>
            <w:fldChar w:fldCharType="begin"/>
          </w:r>
          <w:r>
            <w:instrText xml:space="preserve"> HYPERLINK \l _Toc2785 </w:instrText>
          </w:r>
          <w:r>
            <w:fldChar w:fldCharType="separate"/>
          </w:r>
          <w:r>
            <w:rPr>
              <w:rFonts w:hint="eastAsia" w:ascii="仿宋" w:hAnsi="仿宋" w:eastAsia="仿宋"/>
              <w:bCs w:val="0"/>
            </w:rPr>
            <w:t>十、</w:t>
          </w:r>
          <w:r>
            <w:rPr>
              <w:rFonts w:hint="eastAsia" w:ascii="仿宋" w:hAnsi="仿宋" w:eastAsia="仿宋"/>
            </w:rPr>
            <w:t>政</w:t>
          </w:r>
          <w:r>
            <w:rPr>
              <w:rFonts w:hint="eastAsia" w:ascii="仿宋" w:hAnsi="仿宋" w:eastAsia="仿宋"/>
              <w:bCs w:val="0"/>
            </w:rPr>
            <w:t>府性基金预算财政拨款收入支出决算表</w:t>
          </w:r>
          <w:r>
            <w:tab/>
          </w:r>
          <w:r>
            <w:fldChar w:fldCharType="begin"/>
          </w:r>
          <w:r>
            <w:instrText xml:space="preserve"> PAGEREF _Toc2785 \h </w:instrText>
          </w:r>
          <w:r>
            <w:fldChar w:fldCharType="separate"/>
          </w:r>
          <w:r>
            <w:t>24</w:t>
          </w:r>
          <w:r>
            <w:fldChar w:fldCharType="end"/>
          </w:r>
          <w:r>
            <w:fldChar w:fldCharType="end"/>
          </w:r>
        </w:p>
        <w:p w14:paraId="57145720">
          <w:pPr>
            <w:pStyle w:val="35"/>
            <w:tabs>
              <w:tab w:val="right" w:leader="dot" w:pos="8306"/>
            </w:tabs>
          </w:pPr>
          <w:r>
            <w:fldChar w:fldCharType="begin"/>
          </w:r>
          <w:r>
            <w:instrText xml:space="preserve"> HYPERLINK \l _Toc13804 </w:instrText>
          </w:r>
          <w:r>
            <w:fldChar w:fldCharType="separate"/>
          </w:r>
          <w:r>
            <w:rPr>
              <w:rFonts w:hint="eastAsia" w:ascii="仿宋" w:hAnsi="仿宋" w:eastAsia="仿宋"/>
              <w:bCs w:val="0"/>
            </w:rPr>
            <w:t>十一、</w:t>
          </w:r>
          <w:r>
            <w:rPr>
              <w:rFonts w:hint="eastAsia" w:ascii="仿宋" w:hAnsi="仿宋" w:eastAsia="仿宋"/>
            </w:rPr>
            <w:t>国</w:t>
          </w:r>
          <w:r>
            <w:rPr>
              <w:rFonts w:hint="eastAsia" w:ascii="仿宋" w:hAnsi="仿宋" w:eastAsia="仿宋"/>
              <w:bCs w:val="0"/>
            </w:rPr>
            <w:t>有资本经营预算财政拨款收入支出决算表</w:t>
          </w:r>
          <w:r>
            <w:tab/>
          </w:r>
          <w:r>
            <w:fldChar w:fldCharType="begin"/>
          </w:r>
          <w:r>
            <w:instrText xml:space="preserve"> PAGEREF _Toc13804 \h </w:instrText>
          </w:r>
          <w:r>
            <w:fldChar w:fldCharType="separate"/>
          </w:r>
          <w:r>
            <w:t>24</w:t>
          </w:r>
          <w:r>
            <w:fldChar w:fldCharType="end"/>
          </w:r>
          <w:r>
            <w:fldChar w:fldCharType="end"/>
          </w:r>
        </w:p>
        <w:p w14:paraId="069DCB6C">
          <w:pPr>
            <w:pStyle w:val="35"/>
            <w:tabs>
              <w:tab w:val="right" w:leader="dot" w:pos="8306"/>
            </w:tabs>
          </w:pPr>
          <w:r>
            <w:fldChar w:fldCharType="begin"/>
          </w:r>
          <w:r>
            <w:instrText xml:space="preserve"> HYPERLINK \l _Toc10628 </w:instrText>
          </w:r>
          <w:r>
            <w:fldChar w:fldCharType="separate"/>
          </w:r>
          <w:r>
            <w:rPr>
              <w:rFonts w:hint="eastAsia" w:ascii="仿宋" w:hAnsi="仿宋" w:eastAsia="仿宋"/>
              <w:bCs w:val="0"/>
            </w:rPr>
            <w:t>十二、国有资本经营预算财政拨款支出决算表</w:t>
          </w:r>
          <w:r>
            <w:tab/>
          </w:r>
          <w:r>
            <w:fldChar w:fldCharType="begin"/>
          </w:r>
          <w:r>
            <w:instrText xml:space="preserve"> PAGEREF _Toc10628 \h </w:instrText>
          </w:r>
          <w:r>
            <w:fldChar w:fldCharType="separate"/>
          </w:r>
          <w:r>
            <w:t>24</w:t>
          </w:r>
          <w:r>
            <w:fldChar w:fldCharType="end"/>
          </w:r>
          <w:r>
            <w:fldChar w:fldCharType="end"/>
          </w:r>
        </w:p>
        <w:p w14:paraId="5F9DC74D">
          <w:pPr>
            <w:pStyle w:val="35"/>
            <w:tabs>
              <w:tab w:val="right" w:leader="dot" w:pos="8306"/>
            </w:tabs>
          </w:pPr>
          <w:r>
            <w:fldChar w:fldCharType="begin"/>
          </w:r>
          <w:r>
            <w:instrText xml:space="preserve"> HYPERLINK \l _Toc23301 </w:instrText>
          </w:r>
          <w:r>
            <w:fldChar w:fldCharType="separate"/>
          </w:r>
          <w:r>
            <w:rPr>
              <w:rFonts w:hint="eastAsia" w:ascii="仿宋" w:hAnsi="仿宋" w:eastAsia="仿宋"/>
              <w:bCs w:val="0"/>
            </w:rPr>
            <w:t>十三、财政拨款“三公”经费支出决算表</w:t>
          </w:r>
          <w:r>
            <w:tab/>
          </w:r>
          <w:r>
            <w:fldChar w:fldCharType="begin"/>
          </w:r>
          <w:r>
            <w:instrText xml:space="preserve"> PAGEREF _Toc23301 \h </w:instrText>
          </w:r>
          <w:r>
            <w:fldChar w:fldCharType="separate"/>
          </w:r>
          <w:r>
            <w:t>24</w:t>
          </w:r>
          <w:r>
            <w:fldChar w:fldCharType="end"/>
          </w:r>
          <w:r>
            <w:fldChar w:fldCharType="end"/>
          </w:r>
        </w:p>
        <w:p w14:paraId="4216A2C6">
          <w:pPr>
            <w:rPr>
              <w:b/>
            </w:rPr>
          </w:pPr>
          <w:r>
            <w:rPr>
              <w:b/>
            </w:rPr>
            <w:fldChar w:fldCharType="end"/>
          </w:r>
        </w:p>
      </w:sdtContent>
    </w:sdt>
    <w:p w14:paraId="4C0B132E">
      <w:pPr>
        <w:rPr>
          <w:b/>
        </w:rPr>
      </w:pPr>
    </w:p>
    <w:p w14:paraId="43F2734D">
      <w:pPr>
        <w:pStyle w:val="3"/>
        <w:jc w:val="center"/>
        <w:rPr>
          <w:rStyle w:val="28"/>
          <w:rFonts w:ascii="黑体" w:hAnsi="黑体" w:eastAsia="黑体"/>
          <w:b/>
          <w:bCs w:val="0"/>
        </w:rPr>
      </w:pPr>
      <w:bookmarkStart w:id="16" w:name="_Toc10314"/>
      <w:r>
        <w:rPr>
          <w:rFonts w:hint="eastAsia" w:ascii="黑体" w:hAnsi="黑体" w:eastAsia="黑体"/>
          <w:b w:val="0"/>
        </w:rPr>
        <w:t>第一部分 单位</w:t>
      </w:r>
      <w:r>
        <w:rPr>
          <w:rStyle w:val="28"/>
          <w:rFonts w:hint="eastAsia" w:ascii="黑体" w:hAnsi="黑体" w:eastAsia="黑体"/>
          <w:b w:val="0"/>
          <w:bCs w:val="0"/>
        </w:rPr>
        <w:t>概况</w:t>
      </w:r>
      <w:bookmarkEnd w:id="14"/>
      <w:bookmarkEnd w:id="15"/>
      <w:bookmarkEnd w:id="16"/>
    </w:p>
    <w:p w14:paraId="4F7F805C">
      <w:pPr>
        <w:widowControl/>
        <w:jc w:val="left"/>
        <w:rPr>
          <w:rFonts w:ascii="黑体" w:eastAsia="黑体"/>
          <w:sz w:val="32"/>
          <w:szCs w:val="32"/>
        </w:rPr>
      </w:pPr>
    </w:p>
    <w:p w14:paraId="1A9EB4EF">
      <w:pPr>
        <w:pStyle w:val="4"/>
        <w:numPr>
          <w:ilvl w:val="0"/>
          <w:numId w:val="1"/>
        </w:numPr>
        <w:rPr>
          <w:rStyle w:val="29"/>
          <w:rFonts w:ascii="黑体" w:hAnsi="黑体" w:eastAsia="黑体"/>
          <w:b w:val="0"/>
          <w:bCs w:val="0"/>
          <w:highlight w:val="none"/>
        </w:rPr>
      </w:pPr>
      <w:bookmarkStart w:id="17" w:name="_Toc15294"/>
      <w:bookmarkStart w:id="18" w:name="_Toc15396600"/>
      <w:bookmarkStart w:id="19" w:name="_Toc15377197"/>
      <w:r>
        <w:rPr>
          <w:rStyle w:val="29"/>
          <w:rFonts w:hint="eastAsia" w:ascii="黑体" w:hAnsi="黑体" w:eastAsia="黑体"/>
          <w:b w:val="0"/>
          <w:bCs w:val="0"/>
          <w:highlight w:val="none"/>
        </w:rPr>
        <w:t>主要职责</w:t>
      </w:r>
      <w:bookmarkEnd w:id="17"/>
    </w:p>
    <w:p w14:paraId="14968A51">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(1).负责应急管理工作，组织和指导各地、各部门应对安全生产类、自然灾害类等突发事件和综合防灾减灾救灾工作。负责安全生产综合监督管理和工矿商贸行业安全生产监督管理工作。</w:t>
      </w:r>
    </w:p>
    <w:p w14:paraId="36FCD2E5">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(2).拟订应急管理、安全生产等政策措施，组织编制应急体系建设、安全生产和综合防灾减灾规划，起草有关规章草案。</w:t>
      </w:r>
    </w:p>
    <w:p w14:paraId="4738F3EC">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(3).负责组织、指导应急预案体系建设，建立完善事故灾难和自然灾害分级应对制度，牵头组织编制综合应急防灾减灾预案和安全生产类、自然灾害类专项预案，负责应急预案衔接工作，组织开展预案演练并落实，推动应急避难设施建设。</w:t>
      </w:r>
    </w:p>
    <w:p w14:paraId="3480FF7D">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(4).牵头建立统一的应急管理信息系统，负责信息传输渠道的规划和布局，建立监测预警和灾情报告制度，健全自然灾害信息资源获取和共享机制，依法统一发布灾情。</w:t>
      </w:r>
    </w:p>
    <w:p w14:paraId="3C437241">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(5).负责组织、指导、协调安全生产类、自然灾害类等突发事件应急救援，承担全市应对较大及以上灾害指挥部工作，综合研判突发事件发展态势并提出应对建议，负责组织较大及以上灾害应急处置工作。</w:t>
      </w:r>
    </w:p>
    <w:p w14:paraId="73F0A3B9">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(6).统一协调指挥各类应急专业队伍，建立应急协调联动机制，推进指挥平台对接。</w:t>
      </w:r>
    </w:p>
    <w:p w14:paraId="4DE8E807">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(7).按照国家和省相关政策和规定负责消防、森林火灾扑救、抗洪抢险、地震和地质灾害救援、生产安全事故救援等专业应急救援力量建设，依法依规统筹指导各地及社会应急救援力量和应急保障能力建设。</w:t>
      </w:r>
    </w:p>
    <w:p w14:paraId="53F72B00">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(8).按照国家和省相关政策和市委、市政府相关规定负责消防工作，组织和指导消防监督、火灾预防、火灾扑救等工作。</w:t>
      </w:r>
    </w:p>
    <w:p w14:paraId="1B6A08D0">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(9).负责自然灾害综合监测预警工作，承担自然灾害综合风险评估工作，负责地震防御工作，指导协调森林火灾、水旱灾害和地质灾害等防治工作。</w:t>
      </w:r>
    </w:p>
    <w:p w14:paraId="73E75C86">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(10).负责组织、协调灾害救助工作，组织和指导灾情核查、损失评估、救灾捐赠工作，管理、分配救灾款物并监督使用。</w:t>
      </w:r>
    </w:p>
    <w:p w14:paraId="1BDFCED7">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(11).依法承担市政府安全生产综合监督管理责任，指导协调、监督检查各县（区）政府和市直有关部门安全生产工作，组织开展安全生产巡查、考核工作。</w:t>
      </w:r>
    </w:p>
    <w:p w14:paraId="007A2CD7">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(12).按照分级、属地原则，依法监督检查工矿商贸生产经营单位贯彻执行安全生产法律法规情况及其安全生产条件和有关设备（特种设备除外）、材料、劳动防护用品的安全生产管理工作。协助做好中央、省在遂工矿商贸企业安全生产监督管理工作。负责危险化学品安全监督管理综合工作和烟花爆竹安全生产监督管理工作。</w:t>
      </w:r>
    </w:p>
    <w:p w14:paraId="3D169687">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(13).承担非煤矿山、危险化学品、非药品类易制毒化学品和烟花爆竹等生产经营单位安全生产准入管理责任。</w:t>
      </w:r>
    </w:p>
    <w:p w14:paraId="2714FA04">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(14).依法组织、指导生产安全事故调查处理，监督事故查处和责任追究落实情况。组织开展自然灾害类突发事件的调查评估工作。</w:t>
      </w:r>
    </w:p>
    <w:p w14:paraId="0AF5FE1A">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(15).开展应急管理和安全生产方面的交流与合作，组织参与安全生产类、自然灾害类等突发事件的跨区域救援工作。</w:t>
      </w:r>
    </w:p>
    <w:p w14:paraId="709087A3">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(16).制定应急物资储备和应急救援装备规划并组织实施，会同市发展和改革委员会等部门建立健全应急物资信息平台和调拨制度，在救灾时统一调度。</w:t>
      </w:r>
    </w:p>
    <w:p w14:paraId="555D120B">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(17).负责应急管理、安全生产宣传教育和培训工作，组织和指导应急管理、安全生产的科学技术研究、推广应用和信息化建设工作。</w:t>
      </w:r>
    </w:p>
    <w:p w14:paraId="762284BA">
      <w:pPr>
        <w:adjustRightInd w:val="0"/>
        <w:snapToGrid w:val="0"/>
        <w:spacing w:line="579"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(18).负责职责范围内的职业健康、生态环境保护、审批服务便民化等工作。</w:t>
      </w:r>
    </w:p>
    <w:p w14:paraId="0B145327">
      <w:pPr>
        <w:adjustRightInd w:val="0"/>
        <w:snapToGrid w:val="0"/>
        <w:spacing w:line="579" w:lineRule="exact"/>
        <w:ind w:firstLine="640" w:firstLineChars="200"/>
        <w:rPr>
          <w:rFonts w:hint="eastAsia" w:ascii="仿宋_GB2312" w:hAnsi="仿宋" w:eastAsia="仿宋_GB2312"/>
          <w:sz w:val="32"/>
          <w:szCs w:val="32"/>
          <w:highlight w:val="none"/>
        </w:rPr>
      </w:pPr>
      <w:r>
        <w:rPr>
          <w:rFonts w:hint="eastAsia" w:ascii="仿宋_GB2312" w:eastAsia="仿宋_GB2312"/>
          <w:sz w:val="32"/>
          <w:szCs w:val="32"/>
          <w:highlight w:val="none"/>
        </w:rPr>
        <w:t>(19).完成市委和市政府交办的其他任务。</w:t>
      </w:r>
    </w:p>
    <w:p w14:paraId="5062CAEB"/>
    <w:p w14:paraId="40846F83">
      <w:pPr>
        <w:pStyle w:val="4"/>
        <w:rPr>
          <w:rFonts w:ascii="黑体" w:hAnsi="黑体" w:eastAsia="黑体"/>
          <w:b w:val="0"/>
          <w:highlight w:val="none"/>
        </w:rPr>
      </w:pPr>
      <w:bookmarkStart w:id="20" w:name="_Toc5093"/>
      <w:r>
        <w:rPr>
          <w:rFonts w:hint="eastAsia" w:ascii="黑体" w:hAnsi="黑体" w:eastAsia="黑体"/>
          <w:b w:val="0"/>
          <w:highlight w:val="none"/>
        </w:rPr>
        <w:t>二、机构设置</w:t>
      </w:r>
      <w:bookmarkEnd w:id="20"/>
    </w:p>
    <w:bookmarkEnd w:id="18"/>
    <w:bookmarkEnd w:id="19"/>
    <w:p w14:paraId="742B5A14">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（1）</w:t>
      </w:r>
      <w:r>
        <w:rPr>
          <w:rFonts w:hint="eastAsia" w:ascii="仿宋_GB2312" w:hAnsi="Times New Roman" w:eastAsia="仿宋_GB2312" w:cs="Times New Roman"/>
          <w:sz w:val="32"/>
          <w:szCs w:val="32"/>
          <w:highlight w:val="none"/>
          <w:lang w:eastAsia="zh-CN"/>
        </w:rPr>
        <w:t>办公室。</w:t>
      </w:r>
      <w:r>
        <w:rPr>
          <w:rFonts w:hint="default" w:ascii="Times New Roman" w:hAnsi="Times New Roman" w:eastAsia="仿宋_GB2312" w:cs="Times New Roman"/>
          <w:color w:val="auto"/>
          <w:sz w:val="32"/>
          <w:szCs w:val="32"/>
          <w:highlight w:val="none"/>
        </w:rPr>
        <w:t>负责文电、会务、档案、机要、财务、国有资产管理、后勤保障等机关日常运转工作</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承担保密、信息、绩效管理、政务公开、信访、文稿审核、综合性文稿起草和史志编纂工作。组织办理人大代表建议、政协委员提案。</w:t>
      </w:r>
      <w:r>
        <w:rPr>
          <w:rFonts w:hint="default" w:ascii="Times New Roman" w:hAnsi="Times New Roman" w:eastAsia="仿宋_GB2312" w:cs="Times New Roman"/>
          <w:color w:val="auto"/>
          <w:sz w:val="32"/>
          <w:szCs w:val="32"/>
          <w:highlight w:val="none"/>
          <w:lang w:val="en-US" w:eastAsia="zh-CN"/>
        </w:rPr>
        <w:t>负责</w:t>
      </w:r>
      <w:r>
        <w:rPr>
          <w:rFonts w:hint="default" w:ascii="Times New Roman" w:hAnsi="Times New Roman" w:eastAsia="仿宋_GB2312" w:cs="Times New Roman"/>
          <w:color w:val="auto"/>
          <w:sz w:val="32"/>
          <w:szCs w:val="32"/>
          <w:highlight w:val="none"/>
        </w:rPr>
        <w:t>编制全市应急体系建设、安全生产和综合防灾减灾规划并组织实施，编制并实施应急救援装备规划，研究提出相关经济政策建议</w:t>
      </w:r>
      <w:r>
        <w:rPr>
          <w:rFonts w:hint="default" w:ascii="Times New Roman" w:hAnsi="Times New Roman" w:eastAsia="仿宋_GB2312" w:cs="Times New Roman"/>
          <w:color w:val="auto"/>
          <w:sz w:val="32"/>
          <w:szCs w:val="32"/>
          <w:highlight w:val="none"/>
          <w:lang w:eastAsia="zh-CN"/>
        </w:rPr>
        <w:t>。</w:t>
      </w:r>
    </w:p>
    <w:p w14:paraId="1E00034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（2）</w:t>
      </w:r>
      <w:r>
        <w:rPr>
          <w:rFonts w:hint="default" w:ascii="Times New Roman" w:hAnsi="Times New Roman" w:eastAsia="仿宋_GB2312" w:cs="Times New Roman"/>
          <w:color w:val="auto"/>
          <w:sz w:val="32"/>
          <w:szCs w:val="32"/>
          <w:highlight w:val="none"/>
          <w:lang w:eastAsia="zh-CN"/>
        </w:rPr>
        <w:t>法规宣传培训科（行政审批科）。</w:t>
      </w:r>
      <w:r>
        <w:rPr>
          <w:rFonts w:hint="default" w:ascii="Times New Roman" w:hAnsi="Times New Roman" w:eastAsia="仿宋_GB2312" w:cs="Times New Roman"/>
          <w:color w:val="auto"/>
          <w:sz w:val="32"/>
          <w:szCs w:val="32"/>
          <w:highlight w:val="none"/>
          <w:lang w:val="en-US" w:eastAsia="zh-CN"/>
        </w:rPr>
        <w:t>承担机关依法行政工作和规范性文件的合法性审查、备案等工作。负责行政执法监督工作。牵头协调推进本系统“放管服”改革，承担审批服务便民化有关工作。集中承担市本级有关审批服务事项的受理、审批等工作。承担本部门权责清单制度建设、动态调整等工作。承担本部门新闻宣传、舆情应对、文化建设、公众知识普及、应急救援社会动员工作。指导应急救援队伍教育训练。组织、指导和监督管理全市应急管理、安全生产培训工作。</w:t>
      </w:r>
    </w:p>
    <w:p w14:paraId="4C3DD6E0">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（3）</w:t>
      </w:r>
      <w:r>
        <w:rPr>
          <w:rFonts w:hint="default" w:ascii="Times New Roman" w:hAnsi="Times New Roman" w:eastAsia="仿宋_GB2312" w:cs="Times New Roman"/>
          <w:color w:val="auto"/>
          <w:sz w:val="32"/>
          <w:szCs w:val="32"/>
          <w:highlight w:val="none"/>
          <w:lang w:eastAsia="zh-CN"/>
        </w:rPr>
        <w:t>安全生产综合协调科。</w:t>
      </w:r>
      <w:r>
        <w:rPr>
          <w:rFonts w:hint="default" w:ascii="Times New Roman" w:hAnsi="Times New Roman" w:eastAsia="仿宋_GB2312" w:cs="Times New Roman"/>
          <w:color w:val="auto"/>
          <w:sz w:val="32"/>
          <w:szCs w:val="32"/>
          <w:highlight w:val="none"/>
        </w:rPr>
        <w:t>建立重大安全生产风险监测预警和评估论证机制。依法依规指导协调和监督检查有专门安全生产主管部门的行业领城安全生产监督管理工作。负责较大生产安全事故查处挂牌督办。组织协调全市性安全生产检查以及专项督查、专项整治等工作，组织实施安全生产巡查、考核工作。</w:t>
      </w:r>
    </w:p>
    <w:p w14:paraId="277D8EA6">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eastAsia="仿宋_GB2312"/>
          <w:sz w:val="32"/>
          <w:szCs w:val="32"/>
          <w:highlight w:val="none"/>
        </w:rPr>
        <w:t>（4）</w:t>
      </w:r>
      <w:r>
        <w:rPr>
          <w:rFonts w:hint="default" w:ascii="Times New Roman" w:hAnsi="Times New Roman" w:eastAsia="仿宋_GB2312" w:cs="Times New Roman"/>
          <w:sz w:val="32"/>
          <w:szCs w:val="32"/>
          <w:highlight w:val="none"/>
          <w:lang w:eastAsia="zh-CN"/>
        </w:rPr>
        <w:t>安全生产基础管理科（调查评估科）。</w:t>
      </w:r>
      <w:r>
        <w:rPr>
          <w:rFonts w:hint="default" w:ascii="Times New Roman" w:hAnsi="Times New Roman" w:eastAsia="仿宋_GB2312" w:cs="Times New Roman"/>
          <w:color w:val="auto"/>
          <w:sz w:val="32"/>
          <w:szCs w:val="32"/>
          <w:highlight w:val="none"/>
        </w:rPr>
        <w:t>负责非煤矿山（含地质勘探）、石油（炼化、成品油管道、长输管线除外）、冶金、有色、建材、机械、轻工、纺织、烟草、商贸等工矿商贸行业安全生产监督管理工作，依法监督检查工矿商贸生产经营单位贯彻落实安全生产法律法规、标准情况及其安全生产条件、设备设施安全情况。监督指导工矿商贸企业安全生产标准化、安全预防控制体系建设工作。监督相关行业职业健康、生态环境保护工作。承担自然灾害类突发事件的调查评估工作</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负责应急管理、安全生产、防灾减灾救灾统计分析。负责推进生产经营单位安全生产诚信体系建设。</w:t>
      </w:r>
      <w:r>
        <w:rPr>
          <w:rFonts w:hint="default" w:ascii="Times New Roman" w:hAnsi="Times New Roman" w:eastAsia="仿宋_GB2312" w:cs="Times New Roman"/>
          <w:color w:val="auto"/>
          <w:sz w:val="32"/>
          <w:szCs w:val="32"/>
          <w:highlight w:val="none"/>
          <w:lang w:val="en-US" w:eastAsia="zh-CN"/>
        </w:rPr>
        <w:t>承担应急管理、安全生产信息化和科技工作。</w:t>
      </w:r>
    </w:p>
    <w:p w14:paraId="2C490D1B">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（5）</w:t>
      </w:r>
      <w:r>
        <w:rPr>
          <w:rFonts w:hint="default" w:ascii="Times New Roman" w:hAnsi="Times New Roman" w:eastAsia="仿宋_GB2312" w:cs="Times New Roman"/>
          <w:color w:val="auto"/>
          <w:sz w:val="32"/>
          <w:szCs w:val="32"/>
          <w:highlight w:val="none"/>
          <w:lang w:eastAsia="zh-CN"/>
        </w:rPr>
        <w:t>危险化学品安全监管科。</w:t>
      </w:r>
      <w:r>
        <w:rPr>
          <w:rFonts w:hint="default" w:ascii="Times New Roman" w:hAnsi="Times New Roman" w:eastAsia="仿宋_GB2312" w:cs="Times New Roman"/>
          <w:color w:val="auto"/>
          <w:sz w:val="32"/>
          <w:szCs w:val="32"/>
          <w:highlight w:val="none"/>
        </w:rPr>
        <w:t>负责化工（含石油化工）、医药、危险化学品和烟花爆竹安全生产监督管理工作，依法监督检查相关行业生产经营单位贯彻落实安全生产法律法规、标准情况及其安全生产条件、设备设施安全情况。承担危险化学品安全监督管理综合工作，监督管理危险化学品登记。承担非药品类易制毒化学品生产经营监督管理工作。监督相关行业职业健康、生态环境保护工作。</w:t>
      </w:r>
    </w:p>
    <w:p w14:paraId="7B79EA5A">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（6）</w:t>
      </w:r>
      <w:r>
        <w:rPr>
          <w:rFonts w:hint="default" w:ascii="Times New Roman" w:hAnsi="Times New Roman" w:eastAsia="仿宋_GB2312" w:cs="Times New Roman"/>
          <w:color w:val="auto"/>
          <w:sz w:val="32"/>
          <w:szCs w:val="32"/>
          <w:highlight w:val="none"/>
          <w:lang w:eastAsia="zh-CN"/>
        </w:rPr>
        <w:t>应急救援科（预案管理科）。</w:t>
      </w:r>
      <w:r>
        <w:rPr>
          <w:rFonts w:hint="default" w:ascii="Times New Roman" w:hAnsi="Times New Roman" w:eastAsia="仿宋_GB2312" w:cs="Times New Roman"/>
          <w:color w:val="auto"/>
          <w:sz w:val="32"/>
          <w:szCs w:val="32"/>
          <w:highlight w:val="none"/>
          <w:lang w:val="en-US" w:eastAsia="zh-CN"/>
        </w:rPr>
        <w:t>统筹应急预案体系建设，组织编制综合应急防灾减灾预案和安全生产类、自然灾害类专项预案并负责各类应急预案衔接协调，承担预案演练的组织实施和指导监督工作。建立应急协调联动机制，拟</w:t>
      </w:r>
      <w:r>
        <w:rPr>
          <w:rFonts w:hint="eastAsia" w:eastAsia="仿宋_GB2312" w:cs="Times New Roman"/>
          <w:color w:val="auto"/>
          <w:sz w:val="32"/>
          <w:szCs w:val="32"/>
          <w:highlight w:val="none"/>
          <w:lang w:val="en-US" w:eastAsia="zh-CN"/>
        </w:rPr>
        <w:t>定</w:t>
      </w:r>
      <w:r>
        <w:rPr>
          <w:rFonts w:hint="default" w:ascii="Times New Roman" w:hAnsi="Times New Roman" w:eastAsia="仿宋_GB2312" w:cs="Times New Roman"/>
          <w:color w:val="auto"/>
          <w:sz w:val="32"/>
          <w:szCs w:val="32"/>
          <w:highlight w:val="none"/>
          <w:lang w:val="en-US" w:eastAsia="zh-CN"/>
        </w:rPr>
        <w:t>事故灾难和自然灾害分级应对制度。负责发布预警和灾情信息。承担全市应对较大及以上灾害指挥部综合性工作。承担应急值守、政务值班等工作，负责事故灾难和自然灾害信息的接收、研判、综合、报送和分转。按照中、省相关政策和规定负责本系统专业应急救援力量和应急保障能力建设,依法依规统筹指导各地及社会应急救援力量和应急保障能力建设。组织参与对外应急救援工作。推动应急重点工程和避难设施建设。</w:t>
      </w:r>
    </w:p>
    <w:p w14:paraId="14BD84EF">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（7）</w:t>
      </w:r>
      <w:r>
        <w:rPr>
          <w:rFonts w:hint="default" w:ascii="Times New Roman" w:hAnsi="Times New Roman" w:eastAsia="仿宋_GB2312" w:cs="Times New Roman"/>
          <w:color w:val="auto"/>
          <w:sz w:val="32"/>
          <w:szCs w:val="32"/>
          <w:highlight w:val="none"/>
          <w:lang w:eastAsia="zh-CN"/>
        </w:rPr>
        <w:t>救灾与物资保障科。</w:t>
      </w:r>
      <w:r>
        <w:rPr>
          <w:rFonts w:hint="default" w:ascii="Times New Roman" w:hAnsi="Times New Roman" w:eastAsia="仿宋_GB2312" w:cs="Times New Roman"/>
          <w:color w:val="auto"/>
          <w:sz w:val="32"/>
          <w:szCs w:val="32"/>
          <w:highlight w:val="none"/>
        </w:rPr>
        <w:t>拟订自然灾害风险管理制度，承担自然灾害综合监测预警工作。建立全市减灾协调工作机制，承担自然灾害综合风险与减灾能力调查评估工作。承担灾情核查、损失评估、救灾捐赠等灾害救助工作，拟订市级应急物资储备规划和需求计划，组织建立应急物资共用共享和协调机制，组织协调重要应急物资的储备、调拨和紧急配送，管理、分配救灾款物并监督使用，会同有关方面组织协调紧急转移安置受灾群众、因灾毁损房屋恢复重建补助和受灾群众生活救助。</w:t>
      </w:r>
    </w:p>
    <w:p w14:paraId="5442C1D2">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eastAsia="仿宋_GB2312"/>
          <w:sz w:val="32"/>
          <w:szCs w:val="32"/>
          <w:highlight w:val="none"/>
        </w:rPr>
        <w:t>（8）</w:t>
      </w:r>
      <w:r>
        <w:rPr>
          <w:rFonts w:hint="default" w:ascii="Times New Roman" w:hAnsi="Times New Roman" w:eastAsia="仿宋_GB2312" w:cs="Times New Roman"/>
          <w:color w:val="auto"/>
          <w:sz w:val="32"/>
          <w:szCs w:val="32"/>
          <w:highlight w:val="none"/>
          <w:lang w:eastAsia="zh-CN"/>
        </w:rPr>
        <w:t>火灾防治管理科。按照国家和省相关政策和市委、市政府相关规定负责消防工作，组织和指导消防监督、火灾预防、火灾扑救等工作。牵头组织编制城镇、农村、森林消防工作规划并推进落实。拟</w:t>
      </w:r>
      <w:r>
        <w:rPr>
          <w:rFonts w:hint="eastAsia" w:eastAsia="仿宋_GB2312" w:cs="Times New Roman"/>
          <w:color w:val="auto"/>
          <w:sz w:val="32"/>
          <w:szCs w:val="32"/>
          <w:highlight w:val="none"/>
          <w:lang w:val="en-US" w:eastAsia="zh-CN"/>
        </w:rPr>
        <w:t>定</w:t>
      </w:r>
      <w:r>
        <w:rPr>
          <w:rFonts w:hint="default" w:ascii="Times New Roman" w:hAnsi="Times New Roman" w:eastAsia="仿宋_GB2312" w:cs="Times New Roman"/>
          <w:color w:val="auto"/>
          <w:sz w:val="32"/>
          <w:szCs w:val="32"/>
          <w:highlight w:val="none"/>
          <w:lang w:eastAsia="zh-CN"/>
        </w:rPr>
        <w:t>森林火灾专项应急预案并组织实施。指导协调有关部门森林火灾工作。</w:t>
      </w:r>
    </w:p>
    <w:p w14:paraId="23ACA175">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9</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水旱与地震地灾救援科。</w:t>
      </w:r>
      <w:r>
        <w:rPr>
          <w:rFonts w:hint="default" w:ascii="Times New Roman" w:hAnsi="Times New Roman" w:eastAsia="仿宋_GB2312" w:cs="Times New Roman"/>
          <w:color w:val="auto"/>
          <w:sz w:val="32"/>
          <w:szCs w:val="32"/>
          <w:highlight w:val="none"/>
        </w:rPr>
        <w:t>负责拟订防汛抗旱、地震、地质灾害专项应急预案并组织实施。组织协调地震、地质灾害应急准备、应急响应。负责组织水旱灾害、地震、地质灾害应急抢险救援工作，指导协调有关部门地震、地质灾害防治工作。指导协调重要江河湖泊和重要水工程实施防御洪水、抗御旱灾调度以及应急水量调度工作。监督指导重要江河防汛及应急演练工作。</w:t>
      </w:r>
    </w:p>
    <w:p w14:paraId="40AF4B4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 w:eastAsia="仿宋_GB2312"/>
          <w:sz w:val="32"/>
          <w:szCs w:val="32"/>
          <w:highlight w:val="none"/>
          <w:lang w:val="en-US" w:eastAsia="zh-CN"/>
        </w:rPr>
      </w:pP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10</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机关党委办公室（人事科）。</w:t>
      </w:r>
      <w:r>
        <w:rPr>
          <w:rFonts w:hint="default" w:ascii="Times New Roman" w:hAnsi="Times New Roman" w:eastAsia="仿宋_GB2312" w:cs="Times New Roman"/>
          <w:color w:val="auto"/>
          <w:sz w:val="32"/>
          <w:szCs w:val="32"/>
          <w:highlight w:val="none"/>
        </w:rPr>
        <w:t>负责机关和所属事业单位的党群工作。抓好基层党组织、党员、干部队伍建设。协助局党委抓好党风廉政建设和反腐败工作。负责思想宣传、意识形态、精神文明、联系点等工作。负责机关和所属事业单位的机构编制、干部人事、劳动工资、教育培训等工作。负责机关离退休人员工作。</w:t>
      </w:r>
    </w:p>
    <w:p w14:paraId="743E12DE">
      <w:pPr>
        <w:snapToGrid w:val="0"/>
        <w:spacing w:line="520" w:lineRule="exact"/>
        <w:ind w:firstLine="640" w:firstLineChars="200"/>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3．人员情况</w:t>
      </w:r>
      <w:r>
        <w:rPr>
          <w:rFonts w:hint="eastAsia" w:ascii="仿宋_GB2312" w:hAnsi="仿宋" w:eastAsia="仿宋_GB2312"/>
          <w:sz w:val="32"/>
          <w:szCs w:val="32"/>
          <w:highlight w:val="none"/>
          <w:lang w:eastAsia="zh-CN"/>
        </w:rPr>
        <w:t>。</w:t>
      </w:r>
    </w:p>
    <w:p w14:paraId="5741DD07">
      <w:pPr>
        <w:snapToGrid w:val="0"/>
        <w:spacing w:line="520" w:lineRule="exact"/>
        <w:ind w:firstLine="640" w:firstLineChars="200"/>
        <w:rPr>
          <w:rFonts w:hint="eastAsia" w:ascii="仿宋_GB2312" w:hAnsi="仿宋" w:eastAsia="仿宋_GB2312"/>
          <w:sz w:val="32"/>
          <w:szCs w:val="32"/>
          <w:highlight w:val="none"/>
          <w:lang w:eastAsia="zh-CN"/>
        </w:rPr>
      </w:pPr>
      <w:r>
        <w:rPr>
          <w:rFonts w:hint="eastAsia" w:eastAsia="仿宋_GB2312"/>
          <w:sz w:val="32"/>
          <w:szCs w:val="32"/>
          <w:highlight w:val="none"/>
        </w:rPr>
        <w:t>市应急局行政编制在岗2</w:t>
      </w:r>
      <w:r>
        <w:rPr>
          <w:rFonts w:hint="eastAsia" w:eastAsia="仿宋_GB2312"/>
          <w:sz w:val="32"/>
          <w:szCs w:val="32"/>
          <w:highlight w:val="none"/>
          <w:lang w:val="en-US" w:eastAsia="zh-CN"/>
        </w:rPr>
        <w:t>7</w:t>
      </w:r>
      <w:r>
        <w:rPr>
          <w:rFonts w:hint="eastAsia" w:eastAsia="仿宋_GB2312"/>
          <w:sz w:val="32"/>
          <w:szCs w:val="32"/>
          <w:highlight w:val="none"/>
        </w:rPr>
        <w:t>名,参照公务员管理事业干部6名，事业干部</w:t>
      </w:r>
      <w:r>
        <w:rPr>
          <w:rFonts w:hint="eastAsia" w:eastAsia="仿宋_GB2312"/>
          <w:sz w:val="32"/>
          <w:szCs w:val="32"/>
          <w:highlight w:val="none"/>
          <w:lang w:val="en-US" w:eastAsia="zh-CN"/>
        </w:rPr>
        <w:t>15</w:t>
      </w:r>
      <w:r>
        <w:rPr>
          <w:rFonts w:hint="eastAsia" w:eastAsia="仿宋_GB2312"/>
          <w:sz w:val="32"/>
          <w:szCs w:val="32"/>
          <w:highlight w:val="none"/>
        </w:rPr>
        <w:t>名，退休1</w:t>
      </w:r>
      <w:r>
        <w:rPr>
          <w:rFonts w:hint="eastAsia" w:eastAsia="仿宋_GB2312"/>
          <w:sz w:val="32"/>
          <w:szCs w:val="32"/>
          <w:highlight w:val="none"/>
          <w:lang w:val="en-US" w:eastAsia="zh-CN"/>
        </w:rPr>
        <w:t>1</w:t>
      </w:r>
      <w:r>
        <w:rPr>
          <w:rFonts w:hint="eastAsia" w:eastAsia="仿宋_GB2312"/>
          <w:sz w:val="32"/>
          <w:szCs w:val="32"/>
          <w:highlight w:val="none"/>
        </w:rPr>
        <w:t>名，编外</w:t>
      </w:r>
      <w:r>
        <w:rPr>
          <w:rFonts w:hint="eastAsia" w:eastAsia="仿宋_GB2312"/>
          <w:sz w:val="32"/>
          <w:szCs w:val="32"/>
          <w:highlight w:val="none"/>
          <w:lang w:val="en-US" w:eastAsia="zh-CN"/>
        </w:rPr>
        <w:t>9</w:t>
      </w:r>
      <w:r>
        <w:rPr>
          <w:rFonts w:hint="eastAsia" w:eastAsia="仿宋_GB2312"/>
          <w:sz w:val="32"/>
          <w:szCs w:val="32"/>
          <w:highlight w:val="none"/>
        </w:rPr>
        <w:t>名。</w:t>
      </w:r>
    </w:p>
    <w:p w14:paraId="59A951FE">
      <w:pPr>
        <w:rPr>
          <w:rFonts w:hint="eastAsia" w:ascii="黑体" w:hAnsi="黑体" w:eastAsia="黑体"/>
          <w:b w:val="0"/>
          <w:bCs/>
          <w:color w:val="auto"/>
          <w:highlight w:val="none"/>
        </w:rPr>
      </w:pPr>
    </w:p>
    <w:p w14:paraId="0D3FAEB7">
      <w:pPr>
        <w:pStyle w:val="2"/>
        <w:rPr>
          <w:rFonts w:hint="eastAsia"/>
        </w:rPr>
      </w:pPr>
    </w:p>
    <w:p w14:paraId="272FE054">
      <w:pPr>
        <w:widowControl/>
        <w:jc w:val="left"/>
        <w:rPr>
          <w:rFonts w:ascii="仿宋" w:hAnsi="仿宋" w:eastAsia="仿宋"/>
          <w:kern w:val="0"/>
          <w:sz w:val="32"/>
          <w:szCs w:val="32"/>
        </w:rPr>
      </w:pPr>
    </w:p>
    <w:p w14:paraId="1265F13C">
      <w:pPr>
        <w:pStyle w:val="2"/>
        <w:rPr>
          <w:rFonts w:ascii="仿宋" w:hAnsi="仿宋" w:eastAsia="仿宋"/>
          <w:kern w:val="0"/>
          <w:sz w:val="32"/>
          <w:szCs w:val="32"/>
        </w:rPr>
      </w:pPr>
    </w:p>
    <w:p w14:paraId="3AE1E4DB">
      <w:pPr>
        <w:pStyle w:val="2"/>
        <w:rPr>
          <w:rFonts w:ascii="仿宋" w:hAnsi="仿宋" w:eastAsia="仿宋"/>
          <w:kern w:val="0"/>
          <w:sz w:val="32"/>
          <w:szCs w:val="32"/>
        </w:rPr>
      </w:pPr>
    </w:p>
    <w:p w14:paraId="37B55598">
      <w:pPr>
        <w:pStyle w:val="2"/>
        <w:rPr>
          <w:rFonts w:ascii="仿宋" w:hAnsi="仿宋" w:eastAsia="仿宋"/>
          <w:kern w:val="0"/>
          <w:sz w:val="32"/>
          <w:szCs w:val="32"/>
        </w:rPr>
      </w:pPr>
    </w:p>
    <w:p w14:paraId="2A59E133">
      <w:pPr>
        <w:pStyle w:val="2"/>
        <w:rPr>
          <w:rFonts w:ascii="仿宋" w:hAnsi="仿宋" w:eastAsia="仿宋"/>
          <w:kern w:val="0"/>
          <w:sz w:val="32"/>
          <w:szCs w:val="32"/>
        </w:rPr>
      </w:pPr>
    </w:p>
    <w:p w14:paraId="2046D6E7">
      <w:pPr>
        <w:pStyle w:val="2"/>
        <w:rPr>
          <w:rFonts w:ascii="仿宋" w:hAnsi="仿宋" w:eastAsia="仿宋"/>
          <w:kern w:val="0"/>
          <w:sz w:val="32"/>
          <w:szCs w:val="32"/>
        </w:rPr>
      </w:pPr>
    </w:p>
    <w:p w14:paraId="19E3E8E0">
      <w:pPr>
        <w:pStyle w:val="2"/>
        <w:rPr>
          <w:rFonts w:ascii="仿宋" w:hAnsi="仿宋" w:eastAsia="仿宋"/>
          <w:kern w:val="0"/>
          <w:sz w:val="32"/>
          <w:szCs w:val="32"/>
        </w:rPr>
      </w:pPr>
    </w:p>
    <w:p w14:paraId="2831CB91">
      <w:pPr>
        <w:pStyle w:val="2"/>
        <w:rPr>
          <w:rFonts w:ascii="仿宋" w:hAnsi="仿宋" w:eastAsia="仿宋"/>
          <w:kern w:val="0"/>
          <w:sz w:val="32"/>
          <w:szCs w:val="32"/>
        </w:rPr>
      </w:pPr>
    </w:p>
    <w:p w14:paraId="5E1E0444">
      <w:pPr>
        <w:pStyle w:val="2"/>
        <w:rPr>
          <w:rFonts w:ascii="仿宋" w:hAnsi="仿宋" w:eastAsia="仿宋"/>
          <w:kern w:val="0"/>
          <w:sz w:val="32"/>
          <w:szCs w:val="32"/>
        </w:rPr>
      </w:pPr>
    </w:p>
    <w:p w14:paraId="7B9C9B0D">
      <w:pPr>
        <w:pStyle w:val="2"/>
        <w:rPr>
          <w:rFonts w:ascii="仿宋" w:hAnsi="仿宋" w:eastAsia="仿宋"/>
          <w:kern w:val="0"/>
          <w:sz w:val="32"/>
          <w:szCs w:val="32"/>
        </w:rPr>
      </w:pPr>
    </w:p>
    <w:p w14:paraId="1BE7FE60">
      <w:pPr>
        <w:pStyle w:val="2"/>
        <w:rPr>
          <w:rFonts w:ascii="仿宋" w:hAnsi="仿宋" w:eastAsia="仿宋"/>
          <w:kern w:val="0"/>
          <w:sz w:val="32"/>
          <w:szCs w:val="32"/>
        </w:rPr>
      </w:pPr>
    </w:p>
    <w:p w14:paraId="59A65C1B">
      <w:pPr>
        <w:pStyle w:val="2"/>
        <w:rPr>
          <w:rFonts w:ascii="仿宋" w:hAnsi="仿宋" w:eastAsia="仿宋"/>
          <w:kern w:val="0"/>
          <w:sz w:val="32"/>
          <w:szCs w:val="32"/>
        </w:rPr>
      </w:pPr>
    </w:p>
    <w:p w14:paraId="0870F6B5">
      <w:pPr>
        <w:pStyle w:val="2"/>
        <w:rPr>
          <w:rFonts w:ascii="仿宋" w:hAnsi="仿宋" w:eastAsia="仿宋"/>
          <w:kern w:val="0"/>
          <w:sz w:val="32"/>
          <w:szCs w:val="32"/>
        </w:rPr>
      </w:pPr>
    </w:p>
    <w:p w14:paraId="1EF55843">
      <w:pPr>
        <w:pStyle w:val="3"/>
        <w:ind w:right="440"/>
        <w:jc w:val="center"/>
        <w:rPr>
          <w:rStyle w:val="28"/>
          <w:rFonts w:ascii="黑体" w:hAnsi="黑体" w:eastAsia="黑体"/>
          <w:b w:val="0"/>
          <w:bCs/>
        </w:rPr>
      </w:pPr>
      <w:bookmarkStart w:id="21" w:name="_Toc26202"/>
      <w:bookmarkStart w:id="22" w:name="_Toc15396602"/>
      <w:bookmarkStart w:id="23" w:name="_Toc15377204"/>
      <w:r>
        <w:rPr>
          <w:rFonts w:hint="eastAsia" w:ascii="黑体" w:hAnsi="黑体" w:eastAsia="黑体"/>
          <w:b w:val="0"/>
        </w:rPr>
        <w:t>第二部分 2023年度</w:t>
      </w:r>
      <w:r>
        <w:rPr>
          <w:rStyle w:val="28"/>
          <w:rFonts w:hint="eastAsia" w:ascii="黑体" w:hAnsi="黑体" w:eastAsia="黑体"/>
          <w:b w:val="0"/>
          <w:bCs/>
        </w:rPr>
        <w:t>单位决算情况说明</w:t>
      </w:r>
      <w:bookmarkEnd w:id="21"/>
      <w:bookmarkEnd w:id="22"/>
      <w:bookmarkEnd w:id="23"/>
    </w:p>
    <w:p w14:paraId="59BEEA95"/>
    <w:p w14:paraId="38D81515">
      <w:pPr>
        <w:pStyle w:val="27"/>
        <w:numPr>
          <w:ilvl w:val="0"/>
          <w:numId w:val="2"/>
        </w:numPr>
        <w:spacing w:line="600" w:lineRule="exact"/>
        <w:ind w:firstLineChars="0"/>
        <w:outlineLvl w:val="1"/>
        <w:rPr>
          <w:rStyle w:val="29"/>
          <w:rFonts w:ascii="黑体" w:hAnsi="黑体" w:eastAsia="黑体"/>
          <w:b w:val="0"/>
        </w:rPr>
      </w:pPr>
      <w:bookmarkStart w:id="24" w:name="_Toc26347"/>
      <w:bookmarkStart w:id="25" w:name="_Toc15396603"/>
      <w:bookmarkStart w:id="26" w:name="_Toc15377205"/>
      <w:r>
        <w:rPr>
          <w:rFonts w:hint="eastAsia" w:ascii="黑体" w:hAnsi="黑体" w:eastAsia="黑体"/>
          <w:sz w:val="32"/>
          <w:szCs w:val="32"/>
        </w:rPr>
        <w:t>收</w:t>
      </w:r>
      <w:r>
        <w:rPr>
          <w:rStyle w:val="29"/>
          <w:rFonts w:hint="eastAsia" w:ascii="黑体" w:hAnsi="黑体" w:eastAsia="黑体"/>
          <w:b w:val="0"/>
        </w:rPr>
        <w:t>入支出决算总体情况说明</w:t>
      </w:r>
      <w:bookmarkEnd w:id="24"/>
      <w:bookmarkEnd w:id="25"/>
      <w:bookmarkEnd w:id="26"/>
    </w:p>
    <w:p w14:paraId="4156AAF0">
      <w:pPr>
        <w:spacing w:line="600" w:lineRule="exact"/>
        <w:ind w:firstLine="640" w:firstLineChars="200"/>
        <w:rPr>
          <w:rFonts w:hint="eastAsia" w:ascii="仿宋" w:hAnsi="仿宋" w:eastAsia="仿宋"/>
          <w:color w:val="auto"/>
          <w:sz w:val="32"/>
          <w:szCs w:val="32"/>
          <w:highlight w:val="yellow"/>
          <w:lang w:val="en-US" w:eastAsia="zh-CN"/>
        </w:rPr>
      </w:pPr>
      <w:r>
        <w:rPr>
          <w:rFonts w:hint="eastAsia" w:ascii="仿宋" w:hAnsi="仿宋" w:eastAsia="仿宋"/>
          <w:sz w:val="32"/>
          <w:szCs w:val="32"/>
        </w:rPr>
        <w:t>2023年度收、支总计均为</w:t>
      </w:r>
      <w:r>
        <w:rPr>
          <w:rFonts w:hint="eastAsia" w:ascii="仿宋" w:hAnsi="仿宋" w:eastAsia="仿宋"/>
          <w:b/>
          <w:sz w:val="32"/>
          <w:szCs w:val="32"/>
        </w:rPr>
        <w:t>2412.74</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397.43</w:t>
      </w:r>
      <w:r>
        <w:rPr>
          <w:rFonts w:hint="eastAsia" w:ascii="仿宋" w:hAnsi="仿宋" w:eastAsia="仿宋"/>
          <w:sz w:val="32"/>
          <w:szCs w:val="32"/>
        </w:rPr>
        <w:t>万元，下降</w:t>
      </w:r>
      <w:r>
        <w:rPr>
          <w:rFonts w:hint="eastAsia" w:ascii="仿宋" w:hAnsi="仿宋" w:eastAsia="仿宋"/>
          <w:sz w:val="32"/>
          <w:szCs w:val="32"/>
          <w:lang w:val="en-US" w:eastAsia="zh-CN"/>
        </w:rPr>
        <w:t>14.14</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本年度</w:t>
      </w:r>
      <w:bookmarkStart w:id="27" w:name="OLE_LINK4"/>
      <w:r>
        <w:rPr>
          <w:rFonts w:hint="eastAsia" w:ascii="仿宋" w:hAnsi="仿宋" w:eastAsia="仿宋"/>
          <w:sz w:val="32"/>
          <w:szCs w:val="32"/>
          <w:lang w:val="en-US" w:eastAsia="zh-CN"/>
        </w:rPr>
        <w:t>减少</w:t>
      </w:r>
      <w:r>
        <w:rPr>
          <w:rFonts w:hint="eastAsia" w:ascii="仿宋" w:hAnsi="仿宋" w:eastAsia="仿宋"/>
          <w:color w:val="auto"/>
          <w:sz w:val="32"/>
          <w:szCs w:val="32"/>
          <w:highlight w:val="none"/>
          <w:lang w:val="en-US" w:eastAsia="zh-CN"/>
        </w:rPr>
        <w:t>公务车购置专项资金、减少安全生产目标管理奖励资金、减少2022年森林消防高压泵购置专项资金、减少安全生产及应急救援能力提升专项资金（应急指挥中心信息化建设项目）</w:t>
      </w:r>
    </w:p>
    <w:bookmarkEnd w:id="27"/>
    <w:p w14:paraId="19A7CEA1">
      <w:pPr>
        <w:pStyle w:val="2"/>
        <w:rPr>
          <w:rFonts w:hint="eastAsia" w:ascii="仿宋" w:hAnsi="仿宋" w:eastAsia="仿宋"/>
          <w:sz w:val="32"/>
          <w:szCs w:val="32"/>
        </w:rPr>
      </w:pPr>
      <w:r>
        <w:rPr>
          <w:rFonts w:ascii="仿宋_GB2312" w:eastAsia="仿宋_GB2312"/>
          <w:color w:val="000000"/>
          <w:sz w:val="32"/>
          <w:szCs w:val="32"/>
          <w:highlight w:val="none"/>
        </w:rPr>
        <w:pict>
          <v:shape id="对象 9" o:spid="_x0000_s1026" o:spt="75" type="#_x0000_t75" style="position:absolute;left:0pt;margin-left:7.75pt;margin-top:3.8pt;height:160.9pt;width:395.05pt;z-index:251659264;mso-width-relative:page;mso-height-relative:page;" o:ole="t" filled="f" o:preferrelative="t" stroked="f" coordsize="21600,21600">
            <v:path/>
            <v:fill on="f" focussize="0,0"/>
            <v:stroke on="f"/>
            <v:imagedata r:id="rId7" o:title=""/>
            <o:lock v:ext="edit" aspectratio="t"/>
          </v:shape>
          <o:OLEObject Type="Embed" ProgID="Excel.Sheet.12" ShapeID="对象 9" DrawAspect="Content" ObjectID="_1468075725" r:id="rId6">
            <o:LockedField>false</o:LockedField>
          </o:OLEObject>
        </w:pict>
      </w:r>
    </w:p>
    <w:p w14:paraId="00FFD63D">
      <w:pPr>
        <w:pStyle w:val="2"/>
        <w:rPr>
          <w:rFonts w:hint="eastAsia" w:ascii="仿宋" w:hAnsi="仿宋" w:eastAsia="仿宋"/>
          <w:sz w:val="32"/>
          <w:szCs w:val="32"/>
        </w:rPr>
      </w:pPr>
    </w:p>
    <w:p w14:paraId="03E0DB40">
      <w:pPr>
        <w:pStyle w:val="2"/>
        <w:rPr>
          <w:rFonts w:hint="eastAsia" w:ascii="仿宋" w:hAnsi="仿宋" w:eastAsia="仿宋"/>
          <w:sz w:val="32"/>
          <w:szCs w:val="32"/>
        </w:rPr>
      </w:pPr>
    </w:p>
    <w:p w14:paraId="5DF7783E">
      <w:pPr>
        <w:pStyle w:val="2"/>
        <w:rPr>
          <w:rFonts w:hint="eastAsia" w:ascii="仿宋" w:hAnsi="仿宋" w:eastAsia="仿宋"/>
          <w:sz w:val="32"/>
          <w:szCs w:val="32"/>
        </w:rPr>
      </w:pPr>
    </w:p>
    <w:p w14:paraId="531C4C62">
      <w:pPr>
        <w:pStyle w:val="2"/>
        <w:rPr>
          <w:rFonts w:hint="eastAsia" w:ascii="仿宋" w:hAnsi="仿宋" w:eastAsia="仿宋"/>
          <w:sz w:val="32"/>
          <w:szCs w:val="32"/>
        </w:rPr>
      </w:pPr>
    </w:p>
    <w:p w14:paraId="36868CBE">
      <w:pPr>
        <w:spacing w:line="600" w:lineRule="exact"/>
        <w:ind w:firstLine="640" w:firstLineChars="200"/>
        <w:rPr>
          <w:rFonts w:ascii="仿宋_GB2312" w:eastAsia="仿宋_GB2312"/>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11BFD0E0">
      <w:pPr>
        <w:pStyle w:val="27"/>
        <w:numPr>
          <w:ilvl w:val="0"/>
          <w:numId w:val="2"/>
        </w:numPr>
        <w:spacing w:line="600" w:lineRule="exact"/>
        <w:ind w:firstLineChars="0"/>
        <w:outlineLvl w:val="1"/>
        <w:rPr>
          <w:rStyle w:val="29"/>
          <w:rFonts w:ascii="黑体" w:hAnsi="黑体" w:eastAsia="黑体"/>
          <w:b w:val="0"/>
        </w:rPr>
      </w:pPr>
      <w:bookmarkStart w:id="28" w:name="_Toc15396604"/>
      <w:bookmarkStart w:id="29" w:name="_Toc9047"/>
      <w:bookmarkStart w:id="30" w:name="_Toc15377206"/>
      <w:r>
        <w:rPr>
          <w:rFonts w:hint="eastAsia" w:ascii="黑体" w:hAnsi="黑体" w:eastAsia="黑体"/>
          <w:sz w:val="32"/>
          <w:szCs w:val="32"/>
        </w:rPr>
        <w:t>收</w:t>
      </w:r>
      <w:r>
        <w:rPr>
          <w:rStyle w:val="29"/>
          <w:rFonts w:hint="eastAsia" w:ascii="黑体" w:hAnsi="黑体" w:eastAsia="黑体"/>
          <w:b w:val="0"/>
        </w:rPr>
        <w:t>入决算情况说明</w:t>
      </w:r>
      <w:bookmarkEnd w:id="28"/>
      <w:bookmarkEnd w:id="29"/>
      <w:bookmarkEnd w:id="30"/>
    </w:p>
    <w:p w14:paraId="07E3D21B">
      <w:pPr>
        <w:spacing w:line="600" w:lineRule="exact"/>
        <w:ind w:firstLine="640" w:firstLineChars="200"/>
        <w:outlineLvl w:val="1"/>
        <w:rPr>
          <w:rFonts w:ascii="仿宋" w:hAnsi="仿宋" w:eastAsia="仿宋"/>
          <w:sz w:val="32"/>
          <w:szCs w:val="32"/>
        </w:rPr>
      </w:pPr>
      <w:bookmarkStart w:id="31" w:name="_Toc489"/>
      <w:r>
        <w:rPr>
          <w:rFonts w:hint="eastAsia" w:ascii="仿宋" w:hAnsi="仿宋" w:eastAsia="仿宋"/>
          <w:sz w:val="32"/>
          <w:szCs w:val="32"/>
        </w:rPr>
        <w:t>2023年度本年收入合计</w:t>
      </w:r>
      <w:r>
        <w:rPr>
          <w:rFonts w:ascii="仿宋" w:hAnsi="仿宋" w:eastAsia="仿宋"/>
          <w:b/>
          <w:sz w:val="32"/>
          <w:szCs w:val="32"/>
        </w:rPr>
        <w:t>2412.74</w:t>
      </w:r>
      <w:r>
        <w:rPr>
          <w:rFonts w:hint="eastAsia" w:ascii="仿宋" w:hAnsi="仿宋" w:eastAsia="仿宋"/>
          <w:sz w:val="32"/>
          <w:szCs w:val="32"/>
        </w:rPr>
        <w:t>万元，其中：一般公共预算财政拨款收入</w:t>
      </w:r>
      <w:r>
        <w:rPr>
          <w:rFonts w:ascii="仿宋" w:hAnsi="仿宋" w:eastAsia="仿宋"/>
          <w:b/>
          <w:sz w:val="32"/>
          <w:szCs w:val="32"/>
        </w:rPr>
        <w:t>2412.74</w:t>
      </w:r>
      <w:r>
        <w:rPr>
          <w:rFonts w:hint="eastAsia" w:ascii="仿宋" w:hAnsi="仿宋" w:eastAsia="仿宋"/>
          <w:sz w:val="32"/>
          <w:szCs w:val="32"/>
        </w:rPr>
        <w:t>万元，占</w:t>
      </w:r>
      <w:r>
        <w:rPr>
          <w:rFonts w:ascii="仿宋" w:hAnsi="仿宋" w:eastAsia="仿宋"/>
          <w:b/>
          <w:sz w:val="32"/>
          <w:szCs w:val="32"/>
        </w:rPr>
        <w:t>100%</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bookmarkEnd w:id="31"/>
    </w:p>
    <w:p w14:paraId="2F9086E3">
      <w:pPr>
        <w:spacing w:line="600" w:lineRule="exact"/>
        <w:ind w:firstLine="640" w:firstLineChars="200"/>
        <w:outlineLvl w:val="9"/>
        <w:rPr>
          <w:rFonts w:ascii="仿宋" w:hAnsi="仿宋" w:eastAsia="仿宋"/>
          <w:sz w:val="32"/>
          <w:szCs w:val="32"/>
        </w:rPr>
      </w:pPr>
    </w:p>
    <w:p w14:paraId="51086A63">
      <w:pPr>
        <w:pStyle w:val="2"/>
        <w:rPr>
          <w:rFonts w:ascii="仿宋" w:hAnsi="仿宋" w:eastAsia="仿宋"/>
          <w:sz w:val="32"/>
          <w:szCs w:val="32"/>
        </w:rPr>
      </w:pPr>
      <w:bookmarkStart w:id="32" w:name="OLE_LINK5"/>
      <w:r>
        <w:object>
          <v:shape id="_x0000_i1025" o:spt="75" type="#_x0000_t75" style="height:173.9pt;width:428.3pt;" o:ole="t" filled="f" o:preferrelative="t" stroked="f" coordsize="21600,21600">
            <v:path/>
            <v:fill on="f" focussize="0,0"/>
            <v:stroke on="f"/>
            <v:imagedata r:id="rId9" o:title=""/>
            <o:lock v:ext="edit" aspectratio="t"/>
            <w10:wrap type="none"/>
            <w10:anchorlock/>
          </v:shape>
          <o:OLEObject Type="Embed" ProgID="Excel.Sheet.12" ShapeID="_x0000_i1025" DrawAspect="Content" ObjectID="_1468075726" r:id="rId8">
            <o:LockedField>false</o:LockedField>
          </o:OLEObject>
        </w:object>
      </w:r>
      <w:bookmarkEnd w:id="32"/>
    </w:p>
    <w:p w14:paraId="1784CB12">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14:paraId="4278BAD4">
      <w:pPr>
        <w:spacing w:line="600" w:lineRule="exact"/>
        <w:ind w:firstLine="640" w:firstLineChars="200"/>
        <w:rPr>
          <w:rFonts w:ascii="仿宋_GB2312" w:eastAsia="仿宋_GB2312"/>
          <w:sz w:val="32"/>
          <w:szCs w:val="32"/>
        </w:rPr>
      </w:pPr>
    </w:p>
    <w:p w14:paraId="62BD984A">
      <w:pPr>
        <w:pStyle w:val="27"/>
        <w:numPr>
          <w:ilvl w:val="0"/>
          <w:numId w:val="2"/>
        </w:numPr>
        <w:spacing w:line="600" w:lineRule="exact"/>
        <w:ind w:firstLineChars="0"/>
        <w:outlineLvl w:val="1"/>
        <w:rPr>
          <w:rStyle w:val="29"/>
          <w:rFonts w:ascii="黑体" w:hAnsi="黑体" w:eastAsia="黑体"/>
          <w:b w:val="0"/>
        </w:rPr>
      </w:pPr>
      <w:bookmarkStart w:id="33" w:name="_Toc15377207"/>
      <w:bookmarkStart w:id="34" w:name="_Toc33"/>
      <w:bookmarkStart w:id="35" w:name="_Toc15396605"/>
      <w:r>
        <w:rPr>
          <w:rFonts w:hint="eastAsia" w:ascii="黑体" w:hAnsi="黑体" w:eastAsia="黑体"/>
          <w:sz w:val="32"/>
          <w:szCs w:val="32"/>
        </w:rPr>
        <w:t>支</w:t>
      </w:r>
      <w:r>
        <w:rPr>
          <w:rStyle w:val="29"/>
          <w:rFonts w:hint="eastAsia" w:ascii="黑体" w:hAnsi="黑体" w:eastAsia="黑体"/>
          <w:b w:val="0"/>
        </w:rPr>
        <w:t>出决算情况说明</w:t>
      </w:r>
      <w:bookmarkEnd w:id="33"/>
      <w:bookmarkEnd w:id="34"/>
      <w:bookmarkEnd w:id="35"/>
    </w:p>
    <w:p w14:paraId="423445D6">
      <w:pPr>
        <w:spacing w:line="600" w:lineRule="exact"/>
        <w:ind w:firstLine="640" w:firstLineChars="200"/>
        <w:outlineLvl w:val="1"/>
        <w:rPr>
          <w:rFonts w:ascii="仿宋" w:hAnsi="仿宋" w:eastAsia="仿宋"/>
          <w:sz w:val="32"/>
          <w:szCs w:val="32"/>
        </w:rPr>
      </w:pPr>
      <w:bookmarkStart w:id="36" w:name="_Toc30564"/>
      <w:r>
        <w:rPr>
          <w:rFonts w:hint="eastAsia" w:ascii="仿宋" w:hAnsi="仿宋" w:eastAsia="仿宋"/>
          <w:sz w:val="32"/>
          <w:szCs w:val="32"/>
        </w:rPr>
        <w:t>2023年度本年支出合计</w:t>
      </w:r>
      <w:r>
        <w:rPr>
          <w:rFonts w:ascii="仿宋" w:hAnsi="仿宋" w:eastAsia="仿宋"/>
          <w:b/>
          <w:sz w:val="32"/>
          <w:szCs w:val="32"/>
        </w:rPr>
        <w:t>2412.74</w:t>
      </w:r>
      <w:r>
        <w:rPr>
          <w:rFonts w:hint="eastAsia" w:ascii="仿宋" w:hAnsi="仿宋" w:eastAsia="仿宋"/>
          <w:sz w:val="32"/>
          <w:szCs w:val="32"/>
        </w:rPr>
        <w:t>万元，其中：基本支出</w:t>
      </w:r>
      <w:r>
        <w:rPr>
          <w:rFonts w:ascii="仿宋" w:hAnsi="仿宋" w:eastAsia="仿宋"/>
          <w:b/>
          <w:sz w:val="32"/>
          <w:szCs w:val="32"/>
        </w:rPr>
        <w:t>1205.41</w:t>
      </w:r>
      <w:r>
        <w:rPr>
          <w:rFonts w:hint="eastAsia" w:ascii="仿宋" w:hAnsi="仿宋" w:eastAsia="仿宋"/>
          <w:sz w:val="32"/>
          <w:szCs w:val="32"/>
        </w:rPr>
        <w:t>万元，占</w:t>
      </w:r>
      <w:r>
        <w:rPr>
          <w:rFonts w:ascii="仿宋" w:hAnsi="仿宋" w:eastAsia="仿宋"/>
          <w:b/>
          <w:sz w:val="32"/>
          <w:szCs w:val="32"/>
        </w:rPr>
        <w:t>49.96</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1207.32</w:t>
      </w:r>
      <w:r>
        <w:rPr>
          <w:rFonts w:hint="eastAsia" w:ascii="仿宋" w:hAnsi="仿宋" w:eastAsia="仿宋"/>
          <w:sz w:val="32"/>
          <w:szCs w:val="32"/>
        </w:rPr>
        <w:t>万元，占</w:t>
      </w:r>
      <w:r>
        <w:rPr>
          <w:rFonts w:ascii="仿宋" w:hAnsi="仿宋" w:eastAsia="仿宋"/>
          <w:b/>
          <w:sz w:val="32"/>
          <w:szCs w:val="32"/>
        </w:rPr>
        <w:t>50.0</w:t>
      </w:r>
      <w:r>
        <w:rPr>
          <w:rFonts w:hint="eastAsia" w:ascii="仿宋" w:hAnsi="仿宋" w:eastAsia="仿宋"/>
          <w:b/>
          <w:sz w:val="32"/>
          <w:szCs w:val="32"/>
          <w:lang w:val="en-US" w:eastAsia="zh-CN"/>
        </w:rPr>
        <w:t>4</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bookmarkEnd w:id="36"/>
    </w:p>
    <w:p w14:paraId="036D3F60">
      <w:pPr>
        <w:spacing w:line="600" w:lineRule="exact"/>
        <w:ind w:firstLine="640"/>
        <w:rPr>
          <w:rFonts w:ascii="仿宋" w:hAnsi="仿宋" w:eastAsia="仿宋"/>
          <w:sz w:val="32"/>
          <w:szCs w:val="32"/>
          <w:shd w:val="pct10" w:color="auto" w:fill="FFFFFF"/>
        </w:rPr>
      </w:pPr>
    </w:p>
    <w:p w14:paraId="771C6F37">
      <w:pPr>
        <w:pStyle w:val="2"/>
        <w:rPr>
          <w:rFonts w:ascii="仿宋" w:hAnsi="仿宋" w:eastAsia="仿宋"/>
          <w:sz w:val="32"/>
          <w:szCs w:val="32"/>
          <w:shd w:val="pct10" w:color="auto" w:fill="FFFFFF"/>
        </w:rPr>
      </w:pPr>
      <w:r>
        <w:rPr>
          <w:rFonts w:hint="eastAsia" w:ascii="Times New Roman" w:hAnsi="Times New Roman" w:eastAsia="仿宋_GB2312" w:cs="Times New Roman"/>
          <w:color w:val="000000"/>
          <w:sz w:val="32"/>
          <w:szCs w:val="32"/>
          <w:lang w:val="en-US" w:eastAsia="zh-CN"/>
        </w:rPr>
        <w:pict>
          <v:shape id="Object 6" o:spid="_x0000_s1027" o:spt="75" type="#_x0000_t75" style="position:absolute;left:0pt;margin-left:9.45pt;margin-top:-26.95pt;height:155.1pt;width:428.55pt;z-index:251660288;mso-width-relative:page;mso-height-relative:page;" o:ole="t" filled="f" o:preferrelative="t" stroked="f" coordsize="21600,21600">
            <v:path/>
            <v:fill on="f" focussize="0,0"/>
            <v:stroke on="f"/>
            <v:imagedata r:id="rId11" o:title=""/>
            <o:lock v:ext="edit" aspectratio="t"/>
          </v:shape>
          <o:OLEObject Type="Embed" ProgID="Excel.Sheet.12" ShapeID="Object 6" DrawAspect="Content" ObjectID="_1468075727" r:id="rId10">
            <o:LockedField>false</o:LockedField>
          </o:OLEObject>
        </w:pict>
      </w:r>
    </w:p>
    <w:p w14:paraId="502758C3">
      <w:pPr>
        <w:pStyle w:val="2"/>
        <w:rPr>
          <w:rFonts w:ascii="仿宋" w:hAnsi="仿宋" w:eastAsia="仿宋"/>
          <w:sz w:val="32"/>
          <w:szCs w:val="32"/>
          <w:shd w:val="pct10" w:color="auto" w:fill="FFFFFF"/>
        </w:rPr>
      </w:pPr>
    </w:p>
    <w:p w14:paraId="1E95A3E6">
      <w:pPr>
        <w:pStyle w:val="2"/>
        <w:rPr>
          <w:rFonts w:ascii="仿宋" w:hAnsi="仿宋" w:eastAsia="仿宋"/>
          <w:sz w:val="32"/>
          <w:szCs w:val="32"/>
          <w:shd w:val="pct10" w:color="auto" w:fill="FFFFFF"/>
        </w:rPr>
      </w:pPr>
    </w:p>
    <w:p w14:paraId="2F5FDE28">
      <w:pPr>
        <w:pStyle w:val="2"/>
        <w:rPr>
          <w:rFonts w:ascii="仿宋" w:hAnsi="仿宋" w:eastAsia="仿宋"/>
          <w:sz w:val="32"/>
          <w:szCs w:val="32"/>
          <w:shd w:val="pct10" w:color="auto" w:fill="FFFFFF"/>
        </w:rPr>
      </w:pPr>
    </w:p>
    <w:p w14:paraId="581A20CA">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14:paraId="48A29924">
      <w:pPr>
        <w:spacing w:line="600" w:lineRule="exact"/>
        <w:ind w:firstLine="640" w:firstLineChars="200"/>
        <w:rPr>
          <w:rFonts w:ascii="仿宋_GB2312" w:eastAsia="仿宋_GB2312"/>
          <w:sz w:val="32"/>
          <w:szCs w:val="32"/>
        </w:rPr>
      </w:pPr>
    </w:p>
    <w:p w14:paraId="3A3A72EF">
      <w:pPr>
        <w:spacing w:line="600" w:lineRule="exact"/>
        <w:ind w:firstLine="640" w:firstLineChars="200"/>
        <w:outlineLvl w:val="1"/>
        <w:rPr>
          <w:rStyle w:val="29"/>
          <w:rFonts w:ascii="黑体" w:hAnsi="黑体" w:eastAsia="黑体"/>
          <w:b w:val="0"/>
        </w:rPr>
      </w:pPr>
      <w:bookmarkStart w:id="37" w:name="_Toc15377208"/>
      <w:bookmarkStart w:id="38" w:name="_Toc15560"/>
      <w:bookmarkStart w:id="39" w:name="_Toc15396606"/>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37"/>
      <w:bookmarkEnd w:id="38"/>
      <w:bookmarkEnd w:id="39"/>
    </w:p>
    <w:p w14:paraId="34FCBF25">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2023年度财政拨款收、支总计均为</w:t>
      </w:r>
      <w:r>
        <w:rPr>
          <w:rFonts w:ascii="仿宋" w:hAnsi="仿宋" w:eastAsia="仿宋"/>
          <w:b/>
          <w:sz w:val="32"/>
          <w:szCs w:val="32"/>
        </w:rPr>
        <w:t>2412.74</w:t>
      </w:r>
      <w:r>
        <w:rPr>
          <w:rFonts w:hint="eastAsia" w:ascii="仿宋" w:hAnsi="仿宋" w:eastAsia="仿宋"/>
          <w:sz w:val="32"/>
          <w:szCs w:val="32"/>
        </w:rPr>
        <w:t>万元。与2022年度相比，财政拨款收、支总计各</w:t>
      </w:r>
      <w:r>
        <w:rPr>
          <w:rFonts w:hint="eastAsia" w:ascii="仿宋" w:hAnsi="仿宋" w:eastAsia="仿宋"/>
          <w:sz w:val="32"/>
          <w:szCs w:val="32"/>
          <w:lang w:val="en-US" w:eastAsia="zh-CN"/>
        </w:rPr>
        <w:t>增加684.39</w:t>
      </w:r>
      <w:r>
        <w:rPr>
          <w:rFonts w:hint="eastAsia" w:ascii="仿宋" w:hAnsi="仿宋" w:eastAsia="仿宋"/>
          <w:sz w:val="32"/>
          <w:szCs w:val="32"/>
        </w:rPr>
        <w:t>万元，</w:t>
      </w:r>
      <w:r>
        <w:rPr>
          <w:rFonts w:hint="eastAsia" w:ascii="仿宋" w:hAnsi="仿宋" w:eastAsia="仿宋"/>
          <w:sz w:val="32"/>
          <w:szCs w:val="32"/>
          <w:lang w:val="en-US" w:eastAsia="zh-CN"/>
        </w:rPr>
        <w:t>增加39.6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本年度</w:t>
      </w:r>
      <w:bookmarkStart w:id="40" w:name="OLE_LINK6"/>
      <w:r>
        <w:rPr>
          <w:rFonts w:hint="eastAsia" w:ascii="仿宋" w:hAnsi="仿宋" w:eastAsia="仿宋"/>
          <w:sz w:val="32"/>
          <w:szCs w:val="32"/>
          <w:lang w:val="en-US" w:eastAsia="zh-CN"/>
        </w:rPr>
        <w:t>新增消防装备提升项目（2023年新增一般债券）</w:t>
      </w:r>
      <w:bookmarkEnd w:id="40"/>
      <w:r>
        <w:rPr>
          <w:rFonts w:hint="eastAsia" w:ascii="仿宋" w:hAnsi="仿宋" w:eastAsia="仿宋"/>
          <w:sz w:val="32"/>
          <w:szCs w:val="32"/>
        </w:rPr>
        <w:t>。</w:t>
      </w:r>
    </w:p>
    <w:p w14:paraId="4D0479D7">
      <w:pPr>
        <w:spacing w:line="600" w:lineRule="exact"/>
        <w:ind w:firstLine="640"/>
        <w:rPr>
          <w:rFonts w:ascii="仿宋" w:hAnsi="仿宋" w:eastAsia="仿宋"/>
          <w:sz w:val="32"/>
          <w:szCs w:val="32"/>
        </w:rPr>
      </w:pPr>
      <w:r>
        <w:rPr>
          <w:rFonts w:hint="eastAsia" w:ascii="Times New Roman" w:hAnsi="Times New Roman" w:eastAsia="仿宋_GB2312" w:cs="Times New Roman"/>
          <w:color w:val="000000"/>
          <w:sz w:val="32"/>
          <w:szCs w:val="32"/>
          <w:highlight w:val="yellow"/>
          <w:lang w:val="en-US" w:eastAsia="zh-CN"/>
        </w:rPr>
        <w:pict>
          <v:shape id="Object 8" o:spid="_x0000_s1028" o:spt="75" type="#_x0000_t75" style="position:absolute;left:0pt;margin-left:3.8pt;margin-top:16.45pt;height:153.5pt;width:422.6pt;z-index:251661312;mso-width-relative:page;mso-height-relative:page;" o:ole="t" filled="f" o:preferrelative="t" stroked="f" coordsize="21600,21600">
            <v:path/>
            <v:fill on="f" focussize="0,0"/>
            <v:stroke on="f"/>
            <v:imagedata r:id="rId13" o:title=""/>
            <o:lock v:ext="edit" aspectratio="t"/>
          </v:shape>
          <o:OLEObject Type="Embed" ProgID="Excel.Sheet.12" ShapeID="Object 8" DrawAspect="Content" ObjectID="_1468075728" r:id="rId12">
            <o:LockedField>false</o:LockedField>
          </o:OLEObject>
        </w:pict>
      </w:r>
    </w:p>
    <w:p w14:paraId="59402DB6">
      <w:pPr>
        <w:spacing w:line="600" w:lineRule="exact"/>
        <w:ind w:firstLine="640" w:firstLineChars="200"/>
        <w:rPr>
          <w:rFonts w:hint="eastAsia" w:ascii="仿宋" w:hAnsi="仿宋" w:eastAsia="仿宋"/>
          <w:sz w:val="32"/>
          <w:szCs w:val="32"/>
        </w:rPr>
      </w:pPr>
    </w:p>
    <w:p w14:paraId="5880A628">
      <w:pPr>
        <w:spacing w:line="600" w:lineRule="exact"/>
        <w:ind w:firstLine="640" w:firstLineChars="200"/>
        <w:rPr>
          <w:rFonts w:hint="eastAsia" w:ascii="仿宋" w:hAnsi="仿宋" w:eastAsia="仿宋"/>
          <w:sz w:val="32"/>
          <w:szCs w:val="32"/>
        </w:rPr>
      </w:pPr>
    </w:p>
    <w:p w14:paraId="27ACD831">
      <w:pPr>
        <w:spacing w:line="600" w:lineRule="exact"/>
        <w:ind w:firstLine="640" w:firstLineChars="200"/>
        <w:rPr>
          <w:rFonts w:hint="eastAsia" w:ascii="仿宋" w:hAnsi="仿宋" w:eastAsia="仿宋"/>
          <w:sz w:val="32"/>
          <w:szCs w:val="32"/>
        </w:rPr>
      </w:pPr>
    </w:p>
    <w:p w14:paraId="0B4D05F1">
      <w:pPr>
        <w:spacing w:line="600" w:lineRule="exact"/>
        <w:ind w:firstLine="640" w:firstLineChars="200"/>
        <w:rPr>
          <w:rFonts w:hint="eastAsia" w:ascii="仿宋" w:hAnsi="仿宋" w:eastAsia="仿宋"/>
          <w:sz w:val="32"/>
          <w:szCs w:val="32"/>
        </w:rPr>
      </w:pPr>
    </w:p>
    <w:p w14:paraId="4956FCE3">
      <w:pPr>
        <w:spacing w:line="600" w:lineRule="exact"/>
        <w:ind w:firstLine="640" w:firstLineChars="200"/>
        <w:rPr>
          <w:rFonts w:hint="eastAsia" w:ascii="仿宋" w:hAnsi="仿宋" w:eastAsia="仿宋"/>
          <w:sz w:val="32"/>
          <w:szCs w:val="32"/>
        </w:rPr>
      </w:pPr>
    </w:p>
    <w:p w14:paraId="2E37BA1E">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49EE5A46">
      <w:pPr>
        <w:spacing w:line="600" w:lineRule="exact"/>
        <w:ind w:firstLine="640"/>
        <w:rPr>
          <w:rFonts w:ascii="仿宋" w:hAnsi="仿宋" w:eastAsia="仿宋"/>
          <w:b/>
          <w:sz w:val="32"/>
          <w:szCs w:val="32"/>
        </w:rPr>
      </w:pPr>
    </w:p>
    <w:p w14:paraId="6D11AE63">
      <w:pPr>
        <w:spacing w:line="600" w:lineRule="exact"/>
        <w:ind w:firstLine="640" w:firstLineChars="200"/>
        <w:outlineLvl w:val="1"/>
        <w:rPr>
          <w:rStyle w:val="29"/>
          <w:rFonts w:ascii="黑体" w:hAnsi="黑体" w:eastAsia="黑体"/>
          <w:b w:val="0"/>
        </w:rPr>
      </w:pPr>
      <w:bookmarkStart w:id="41" w:name="_Toc15377209"/>
      <w:bookmarkStart w:id="42" w:name="_Toc15396607"/>
      <w:bookmarkStart w:id="43" w:name="_Toc10306"/>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41"/>
      <w:bookmarkEnd w:id="42"/>
      <w:bookmarkEnd w:id="43"/>
    </w:p>
    <w:p w14:paraId="245E99C4">
      <w:pPr>
        <w:spacing w:line="600" w:lineRule="exact"/>
        <w:ind w:firstLine="643" w:firstLineChars="200"/>
        <w:outlineLvl w:val="2"/>
        <w:rPr>
          <w:rFonts w:ascii="仿宋" w:hAnsi="仿宋" w:eastAsia="仿宋"/>
          <w:b/>
          <w:sz w:val="32"/>
          <w:szCs w:val="32"/>
        </w:rPr>
      </w:pPr>
      <w:bookmarkStart w:id="44" w:name="_Toc15377210"/>
      <w:r>
        <w:rPr>
          <w:rFonts w:hint="eastAsia" w:ascii="仿宋" w:hAnsi="仿宋" w:eastAsia="仿宋"/>
          <w:b/>
          <w:sz w:val="32"/>
          <w:szCs w:val="32"/>
        </w:rPr>
        <w:t>（一）一般公共预算财政拨款支出决算总体情况</w:t>
      </w:r>
      <w:bookmarkEnd w:id="44"/>
    </w:p>
    <w:p w14:paraId="2189CAFB">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2412.74</w:t>
      </w:r>
      <w:r>
        <w:rPr>
          <w:rFonts w:hint="eastAsia" w:ascii="仿宋" w:hAnsi="仿宋" w:eastAsia="仿宋"/>
          <w:sz w:val="32"/>
          <w:szCs w:val="32"/>
        </w:rPr>
        <w:t>万元，占本年支出合计的</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w:t>
      </w:r>
      <w:r>
        <w:rPr>
          <w:rFonts w:hint="eastAsia" w:ascii="仿宋" w:hAnsi="仿宋" w:eastAsia="仿宋"/>
          <w:sz w:val="32"/>
          <w:szCs w:val="32"/>
          <w:lang w:val="en-US" w:eastAsia="zh-CN"/>
        </w:rPr>
        <w:t>增加684.39</w:t>
      </w:r>
      <w:r>
        <w:rPr>
          <w:rFonts w:hint="eastAsia" w:ascii="仿宋" w:hAnsi="仿宋" w:eastAsia="仿宋"/>
          <w:sz w:val="32"/>
          <w:szCs w:val="32"/>
        </w:rPr>
        <w:t>万元，</w:t>
      </w:r>
      <w:r>
        <w:rPr>
          <w:rFonts w:hint="eastAsia" w:ascii="仿宋" w:hAnsi="仿宋" w:eastAsia="仿宋"/>
          <w:sz w:val="32"/>
          <w:szCs w:val="32"/>
          <w:lang w:val="en-US" w:eastAsia="zh-CN"/>
        </w:rPr>
        <w:t>增加39.6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本年度新增消防装备提升项目（2023年新增一般债券）</w:t>
      </w:r>
      <w:r>
        <w:rPr>
          <w:rFonts w:hint="eastAsia" w:ascii="仿宋" w:hAnsi="仿宋" w:eastAsia="仿宋"/>
          <w:sz w:val="32"/>
          <w:szCs w:val="32"/>
        </w:rPr>
        <w:t>。</w:t>
      </w:r>
    </w:p>
    <w:p w14:paraId="0780455E">
      <w:pPr>
        <w:spacing w:line="600" w:lineRule="exact"/>
        <w:ind w:firstLine="640" w:firstLineChars="200"/>
        <w:rPr>
          <w:rFonts w:ascii="仿宋" w:hAnsi="仿宋" w:eastAsia="仿宋"/>
          <w:sz w:val="32"/>
          <w:szCs w:val="32"/>
        </w:rPr>
      </w:pPr>
    </w:p>
    <w:p w14:paraId="310BDA31">
      <w:pPr>
        <w:pStyle w:val="2"/>
        <w:rPr>
          <w:rFonts w:ascii="仿宋" w:hAnsi="仿宋" w:eastAsia="仿宋"/>
          <w:sz w:val="32"/>
          <w:szCs w:val="32"/>
        </w:rPr>
      </w:pPr>
    </w:p>
    <w:p w14:paraId="70BABC0D">
      <w:pPr>
        <w:pStyle w:val="2"/>
        <w:rPr>
          <w:rFonts w:ascii="仿宋" w:hAnsi="仿宋" w:eastAsia="仿宋"/>
          <w:sz w:val="32"/>
          <w:szCs w:val="32"/>
        </w:rPr>
      </w:pPr>
    </w:p>
    <w:p w14:paraId="0BEACB4C">
      <w:pPr>
        <w:pStyle w:val="2"/>
        <w:rPr>
          <w:rFonts w:ascii="仿宋" w:hAnsi="仿宋" w:eastAsia="仿宋"/>
          <w:sz w:val="32"/>
          <w:szCs w:val="32"/>
        </w:rPr>
      </w:pPr>
    </w:p>
    <w:p w14:paraId="1B9A1233">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0EE2F0E7">
      <w:pPr>
        <w:spacing w:line="600" w:lineRule="exact"/>
        <w:ind w:firstLine="643" w:firstLineChars="200"/>
        <w:outlineLvl w:val="2"/>
        <w:rPr>
          <w:rFonts w:ascii="仿宋" w:hAnsi="仿宋" w:eastAsia="仿宋"/>
          <w:b/>
          <w:sz w:val="32"/>
          <w:szCs w:val="32"/>
        </w:rPr>
      </w:pPr>
      <w:bookmarkStart w:id="45" w:name="_Toc15377211"/>
      <w:r>
        <w:rPr>
          <w:rFonts w:hint="eastAsia" w:ascii="仿宋" w:hAnsi="仿宋" w:eastAsia="仿宋"/>
          <w:b/>
          <w:sz w:val="32"/>
          <w:szCs w:val="32"/>
        </w:rPr>
        <w:t>（二）一般公共预算财政拨款支出决算结构情况</w:t>
      </w:r>
      <w:bookmarkEnd w:id="45"/>
    </w:p>
    <w:p w14:paraId="38BBDFA6">
      <w:pPr>
        <w:spacing w:line="600" w:lineRule="exact"/>
        <w:ind w:firstLine="640"/>
        <w:rPr>
          <w:rFonts w:hint="default" w:ascii="仿宋" w:hAnsi="仿宋" w:eastAsia="仿宋"/>
          <w:b/>
          <w:color w:val="auto"/>
          <w:sz w:val="32"/>
          <w:szCs w:val="32"/>
          <w:highlight w:val="none"/>
          <w:lang w:val="en-US" w:eastAsia="zh-CN"/>
        </w:rPr>
      </w:pPr>
      <w:r>
        <w:rPr>
          <w:rFonts w:hint="eastAsia" w:ascii="仿宋" w:hAnsi="仿宋" w:eastAsia="仿宋"/>
          <w:sz w:val="32"/>
          <w:szCs w:val="32"/>
        </w:rPr>
        <w:t>2023年度一般公共预算财政拨款支出</w:t>
      </w:r>
      <w:r>
        <w:rPr>
          <w:rFonts w:ascii="仿宋" w:hAnsi="仿宋" w:eastAsia="仿宋"/>
          <w:b/>
          <w:sz w:val="32"/>
          <w:szCs w:val="32"/>
        </w:rPr>
        <w:t>2412.74</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108.25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4.49</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36.79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1.52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rPr>
        <w:t>7</w:t>
      </w:r>
      <w:r>
        <w:rPr>
          <w:rFonts w:hint="eastAsia" w:ascii="仿宋" w:hAnsi="仿宋" w:eastAsia="仿宋"/>
          <w:color w:val="auto"/>
          <w:sz w:val="32"/>
          <w:szCs w:val="32"/>
          <w:highlight w:val="none"/>
          <w:lang w:val="en-US" w:eastAsia="zh-CN"/>
        </w:rPr>
        <w:t>5.23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3.12</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bCs/>
          <w:color w:val="auto"/>
          <w:sz w:val="32"/>
          <w:szCs w:val="32"/>
          <w:highlight w:val="none"/>
          <w:lang w:eastAsia="zh-CN"/>
        </w:rPr>
        <w:t>灾害防治及应急管理支出</w:t>
      </w:r>
      <w:r>
        <w:rPr>
          <w:rFonts w:hint="eastAsia" w:ascii="仿宋" w:hAnsi="仿宋" w:eastAsia="仿宋"/>
          <w:color w:val="auto"/>
          <w:sz w:val="32"/>
          <w:szCs w:val="32"/>
          <w:highlight w:val="none"/>
          <w:lang w:val="en-US" w:eastAsia="zh-CN"/>
        </w:rPr>
        <w:t>2192.46万元，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90.87</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4718C173">
      <w:pPr>
        <w:spacing w:line="600" w:lineRule="exact"/>
        <w:ind w:firstLine="640"/>
        <w:rPr>
          <w:rFonts w:hint="eastAsia" w:ascii="仿宋" w:hAnsi="仿宋" w:eastAsia="仿宋"/>
          <w:b/>
          <w:sz w:val="32"/>
          <w:szCs w:val="32"/>
        </w:rPr>
      </w:pPr>
      <w:r>
        <w:rPr>
          <w:rFonts w:hint="eastAsia" w:ascii="Times New Roman" w:hAnsi="Times New Roman" w:eastAsia="仿宋_GB2312" w:cs="Times New Roman"/>
          <w:b w:val="0"/>
          <w:bCs/>
          <w:sz w:val="32"/>
          <w:szCs w:val="32"/>
          <w:lang w:val="en-US" w:eastAsia="zh-CN"/>
        </w:rPr>
        <w:pict>
          <v:shape id="Object 11" o:spid="_x0000_s1031" o:spt="75" type="#_x0000_t75" style="position:absolute;left:0pt;margin-left:-0.15pt;margin-top:10.35pt;height:168.4pt;width:461.7pt;z-index:251662336;mso-width-relative:page;mso-height-relative:page;" o:ole="t" filled="f" o:preferrelative="t" stroked="f" coordsize="21600,21600">
            <v:path/>
            <v:fill on="f" focussize="0,0"/>
            <v:stroke on="f"/>
            <v:imagedata r:id="rId15" o:title=""/>
            <o:lock v:ext="edit" aspectratio="t"/>
          </v:shape>
          <o:OLEObject Type="Embed" ProgID="Excel.Sheet.12" ShapeID="Object 11" DrawAspect="Content" ObjectID="_1468075729" r:id="rId14">
            <o:LockedField>false</o:LockedField>
          </o:OLEObject>
        </w:pict>
      </w:r>
    </w:p>
    <w:p w14:paraId="501B3623">
      <w:pPr>
        <w:spacing w:line="600" w:lineRule="exact"/>
        <w:ind w:firstLine="640"/>
        <w:rPr>
          <w:rFonts w:hint="eastAsia" w:ascii="仿宋" w:hAnsi="仿宋" w:eastAsia="仿宋"/>
          <w:b/>
          <w:sz w:val="32"/>
          <w:szCs w:val="32"/>
        </w:rPr>
      </w:pPr>
    </w:p>
    <w:p w14:paraId="03999796">
      <w:pPr>
        <w:spacing w:line="600" w:lineRule="exact"/>
        <w:ind w:firstLine="640"/>
        <w:rPr>
          <w:rFonts w:hint="eastAsia" w:ascii="仿宋" w:hAnsi="仿宋" w:eastAsia="仿宋"/>
          <w:b/>
          <w:sz w:val="32"/>
          <w:szCs w:val="32"/>
        </w:rPr>
      </w:pPr>
    </w:p>
    <w:p w14:paraId="5194B214">
      <w:pPr>
        <w:spacing w:line="600" w:lineRule="exact"/>
        <w:ind w:firstLine="640"/>
        <w:rPr>
          <w:rFonts w:hint="eastAsia" w:ascii="仿宋" w:hAnsi="仿宋" w:eastAsia="仿宋"/>
          <w:b/>
          <w:sz w:val="32"/>
          <w:szCs w:val="32"/>
        </w:rPr>
      </w:pPr>
    </w:p>
    <w:p w14:paraId="1681853A">
      <w:pPr>
        <w:spacing w:line="600" w:lineRule="exact"/>
        <w:ind w:firstLine="640"/>
        <w:rPr>
          <w:rFonts w:hint="eastAsia" w:ascii="仿宋" w:hAnsi="仿宋" w:eastAsia="仿宋"/>
          <w:b/>
          <w:sz w:val="32"/>
          <w:szCs w:val="32"/>
        </w:rPr>
      </w:pPr>
    </w:p>
    <w:p w14:paraId="08391693">
      <w:pPr>
        <w:spacing w:line="600" w:lineRule="exact"/>
        <w:rPr>
          <w:rFonts w:ascii="仿宋" w:hAnsi="仿宋" w:eastAsia="仿宋"/>
          <w:sz w:val="32"/>
          <w:szCs w:val="32"/>
        </w:rPr>
      </w:pPr>
    </w:p>
    <w:p w14:paraId="186CDAC9">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60CA9AF0">
      <w:pPr>
        <w:spacing w:line="600" w:lineRule="exact"/>
        <w:ind w:firstLine="643" w:firstLineChars="200"/>
        <w:outlineLvl w:val="2"/>
        <w:rPr>
          <w:rFonts w:ascii="仿宋" w:hAnsi="仿宋" w:eastAsia="仿宋"/>
          <w:b/>
          <w:sz w:val="32"/>
          <w:szCs w:val="32"/>
        </w:rPr>
      </w:pPr>
      <w:bookmarkStart w:id="46" w:name="_Toc15377212"/>
      <w:r>
        <w:rPr>
          <w:rFonts w:hint="eastAsia" w:ascii="仿宋" w:hAnsi="仿宋" w:eastAsia="仿宋"/>
          <w:b/>
          <w:sz w:val="32"/>
          <w:szCs w:val="32"/>
        </w:rPr>
        <w:t>（三）一般公共预算财政拨款支出决算具体情况</w:t>
      </w:r>
      <w:bookmarkEnd w:id="46"/>
    </w:p>
    <w:p w14:paraId="315BFE21">
      <w:pPr>
        <w:spacing w:line="600" w:lineRule="exact"/>
        <w:ind w:firstLine="643" w:firstLineChars="200"/>
        <w:outlineLvl w:val="1"/>
        <w:rPr>
          <w:rFonts w:ascii="仿宋" w:hAnsi="仿宋" w:eastAsia="仿宋"/>
          <w:sz w:val="32"/>
          <w:szCs w:val="32"/>
        </w:rPr>
      </w:pPr>
      <w:bookmarkStart w:id="47" w:name="_Toc15184"/>
      <w:bookmarkStart w:id="48" w:name="_Toc15378460"/>
      <w:bookmarkStart w:id="49" w:name="_Toc15377444"/>
      <w:bookmarkStart w:id="50" w:name="_Toc15377213"/>
      <w:r>
        <w:rPr>
          <w:rFonts w:hint="eastAsia" w:ascii="仿宋" w:hAnsi="仿宋" w:eastAsia="仿宋"/>
          <w:b/>
          <w:sz w:val="32"/>
          <w:szCs w:val="32"/>
        </w:rPr>
        <w:t>2023年度一般公共预算支出决算数为</w:t>
      </w:r>
      <w:r>
        <w:rPr>
          <w:rFonts w:ascii="仿宋" w:hAnsi="仿宋" w:eastAsia="仿宋"/>
          <w:b/>
          <w:sz w:val="32"/>
          <w:szCs w:val="32"/>
        </w:rPr>
        <w:t>2412.74</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71.48</w:t>
      </w:r>
      <w:r>
        <w:rPr>
          <w:rStyle w:val="17"/>
          <w:rFonts w:ascii="仿宋" w:hAnsi="仿宋" w:eastAsia="仿宋"/>
          <w:bCs/>
          <w:sz w:val="32"/>
          <w:szCs w:val="32"/>
        </w:rPr>
        <w:t>%</w:t>
      </w:r>
      <w:r>
        <w:rPr>
          <w:rStyle w:val="17"/>
          <w:rFonts w:hint="eastAsia" w:ascii="仿宋" w:hAnsi="仿宋" w:eastAsia="仿宋"/>
          <w:bCs/>
          <w:sz w:val="32"/>
          <w:szCs w:val="32"/>
        </w:rPr>
        <w:t>。其中：</w:t>
      </w:r>
      <w:bookmarkEnd w:id="47"/>
      <w:bookmarkEnd w:id="48"/>
      <w:bookmarkEnd w:id="49"/>
      <w:bookmarkEnd w:id="50"/>
    </w:p>
    <w:p w14:paraId="10DB3D45">
      <w:pPr>
        <w:numPr>
          <w:ilvl w:val="0"/>
          <w:numId w:val="0"/>
        </w:num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w:t>
      </w:r>
      <w:r>
        <w:rPr>
          <w:rStyle w:val="17"/>
          <w:rFonts w:hint="eastAsia" w:ascii="仿宋" w:hAnsi="仿宋" w:eastAsia="仿宋"/>
          <w:bCs/>
          <w:color w:val="auto"/>
          <w:sz w:val="32"/>
          <w:szCs w:val="32"/>
          <w:highlight w:val="none"/>
        </w:rPr>
        <w:t>社会保障和就业（类）行政事业单位养老支出（款）行政单位离退休（项）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6.27</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97.21</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p>
    <w:p w14:paraId="2EA2C348">
      <w:pPr>
        <w:spacing w:line="600" w:lineRule="exact"/>
        <w:ind w:firstLine="643" w:firstLineChars="200"/>
        <w:rPr>
          <w:rFonts w:hint="eastAsia"/>
        </w:rPr>
      </w:pPr>
      <w:r>
        <w:rPr>
          <w:rStyle w:val="17"/>
          <w:rFonts w:hint="eastAsia" w:ascii="仿宋" w:hAnsi="仿宋" w:eastAsia="仿宋"/>
          <w:bCs/>
          <w:color w:val="auto"/>
          <w:sz w:val="32"/>
          <w:szCs w:val="32"/>
          <w:highlight w:val="none"/>
          <w:lang w:val="en-US" w:eastAsia="zh-CN"/>
        </w:rPr>
        <w:t>2</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社会保障和就业（类）行政事业单位养老支出（款）事业单位离退休（项）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支出决算为0.1</w:t>
      </w:r>
      <w:r>
        <w:rPr>
          <w:rStyle w:val="17"/>
          <w:rFonts w:hint="eastAsia" w:ascii="仿宋" w:hAnsi="仿宋" w:eastAsia="仿宋"/>
          <w:b w:val="0"/>
          <w:bCs/>
          <w:color w:val="auto"/>
          <w:sz w:val="32"/>
          <w:szCs w:val="32"/>
          <w:highlight w:val="none"/>
          <w:lang w:val="en-US" w:eastAsia="zh-CN"/>
        </w:rPr>
        <w:t>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p>
    <w:p w14:paraId="0D0DCF62">
      <w:pPr>
        <w:spacing w:line="600" w:lineRule="exact"/>
        <w:ind w:firstLine="420" w:firstLineChars="200"/>
        <w:rPr>
          <w:rStyle w:val="17"/>
          <w:rFonts w:hint="eastAsia" w:ascii="仿宋" w:hAnsi="仿宋" w:eastAsia="仿宋"/>
          <w:b w:val="0"/>
          <w:bCs/>
          <w:color w:val="auto"/>
          <w:sz w:val="32"/>
          <w:szCs w:val="32"/>
          <w:highlight w:val="none"/>
        </w:rPr>
      </w:pPr>
      <w:r>
        <w:rPr>
          <w:rFonts w:hint="eastAsia"/>
          <w:lang w:val="en-US" w:eastAsia="zh-CN"/>
        </w:rPr>
        <w:t xml:space="preserve"> </w:t>
      </w:r>
      <w:r>
        <w:rPr>
          <w:rStyle w:val="17"/>
          <w:rFonts w:hint="eastAsia" w:ascii="仿宋" w:hAnsi="仿宋" w:eastAsia="仿宋" w:cstheme="minorBidi"/>
          <w:bCs/>
          <w:color w:val="auto"/>
          <w:sz w:val="32"/>
          <w:szCs w:val="32"/>
          <w:highlight w:val="none"/>
          <w:lang w:val="en-US" w:eastAsia="zh-CN"/>
        </w:rPr>
        <w:t xml:space="preserve"> 3</w:t>
      </w:r>
      <w:r>
        <w:rPr>
          <w:rStyle w:val="17"/>
          <w:rFonts w:ascii="仿宋" w:hAnsi="仿宋" w:eastAsia="仿宋" w:cstheme="minorBidi"/>
          <w:bCs/>
          <w:color w:val="auto"/>
          <w:sz w:val="32"/>
          <w:szCs w:val="32"/>
          <w:highlight w:val="none"/>
        </w:rPr>
        <w:t>.</w:t>
      </w:r>
      <w:r>
        <w:rPr>
          <w:rStyle w:val="17"/>
          <w:rFonts w:hint="eastAsia" w:ascii="仿宋" w:hAnsi="仿宋" w:eastAsia="仿宋"/>
          <w:bCs/>
          <w:color w:val="auto"/>
          <w:sz w:val="32"/>
          <w:szCs w:val="32"/>
          <w:highlight w:val="none"/>
        </w:rPr>
        <w:t>社会保障和就业（类）行政事业单位养老支出（款）  机关事业单位基本养老保险缴费支出（项）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101.81</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98.13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p>
    <w:p w14:paraId="14705CC3">
      <w:pPr>
        <w:spacing w:line="600" w:lineRule="exact"/>
        <w:ind w:firstLine="643" w:firstLineChars="200"/>
        <w:rPr>
          <w:rStyle w:val="17"/>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4.</w:t>
      </w:r>
      <w:r>
        <w:rPr>
          <w:rFonts w:hint="eastAsia" w:ascii="仿宋" w:hAnsi="仿宋" w:eastAsia="仿宋"/>
          <w:b/>
          <w:bCs/>
          <w:color w:val="auto"/>
          <w:sz w:val="32"/>
          <w:szCs w:val="32"/>
          <w:highlight w:val="none"/>
        </w:rPr>
        <w:t>卫生健康</w:t>
      </w:r>
      <w:r>
        <w:rPr>
          <w:rStyle w:val="17"/>
          <w:rFonts w:hint="eastAsia" w:ascii="仿宋" w:hAnsi="仿宋" w:eastAsia="仿宋"/>
          <w:bCs/>
          <w:color w:val="auto"/>
          <w:sz w:val="32"/>
          <w:szCs w:val="32"/>
          <w:highlight w:val="none"/>
        </w:rPr>
        <w:t>（类）行政事业单位医疗（款）行政单位医疗（项）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支出决算为2</w:t>
      </w:r>
      <w:r>
        <w:rPr>
          <w:rStyle w:val="17"/>
          <w:rFonts w:hint="eastAsia" w:ascii="仿宋" w:hAnsi="仿宋" w:eastAsia="仿宋"/>
          <w:b w:val="0"/>
          <w:bCs/>
          <w:color w:val="auto"/>
          <w:sz w:val="32"/>
          <w:szCs w:val="32"/>
          <w:highlight w:val="none"/>
          <w:lang w:val="en-US" w:eastAsia="zh-CN"/>
        </w:rPr>
        <w:t>6.72</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99.40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p>
    <w:p w14:paraId="7478FF57">
      <w:pPr>
        <w:spacing w:line="600" w:lineRule="exact"/>
        <w:ind w:firstLine="640" w:firstLineChars="200"/>
        <w:rPr>
          <w:rStyle w:val="17"/>
          <w:rFonts w:hint="eastAsia" w:ascii="仿宋" w:hAnsi="仿宋" w:eastAsia="仿宋"/>
          <w:b w:val="0"/>
          <w:bCs/>
          <w:color w:val="auto"/>
          <w:sz w:val="32"/>
          <w:szCs w:val="32"/>
          <w:highlight w:val="none"/>
        </w:rPr>
      </w:pPr>
      <w:r>
        <w:rPr>
          <w:rStyle w:val="17"/>
          <w:rFonts w:hint="eastAsia" w:ascii="仿宋" w:hAnsi="仿宋" w:eastAsia="仿宋"/>
          <w:b w:val="0"/>
          <w:bCs/>
          <w:color w:val="auto"/>
          <w:sz w:val="32"/>
          <w:szCs w:val="32"/>
          <w:highlight w:val="none"/>
          <w:lang w:val="en-US" w:eastAsia="zh-CN"/>
        </w:rPr>
        <w:t>5.</w:t>
      </w:r>
      <w:r>
        <w:rPr>
          <w:rFonts w:hint="eastAsia" w:ascii="仿宋" w:hAnsi="仿宋" w:eastAsia="仿宋"/>
          <w:b/>
          <w:bCs/>
          <w:color w:val="auto"/>
          <w:sz w:val="32"/>
          <w:szCs w:val="32"/>
          <w:highlight w:val="none"/>
        </w:rPr>
        <w:t>卫生健康</w:t>
      </w:r>
      <w:r>
        <w:rPr>
          <w:rStyle w:val="17"/>
          <w:rFonts w:hint="eastAsia" w:ascii="仿宋" w:hAnsi="仿宋" w:eastAsia="仿宋"/>
          <w:bCs/>
          <w:color w:val="auto"/>
          <w:sz w:val="32"/>
          <w:szCs w:val="32"/>
          <w:highlight w:val="none"/>
        </w:rPr>
        <w:t>（类）行政事业单位医疗（款）事业单位医疗（项）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10.07</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97.48</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p>
    <w:p w14:paraId="49FC3BD9">
      <w:pPr>
        <w:numPr>
          <w:ilvl w:val="0"/>
          <w:numId w:val="0"/>
        </w:numPr>
        <w:spacing w:line="600" w:lineRule="exact"/>
        <w:ind w:leftChars="0" w:firstLine="643" w:firstLineChars="200"/>
        <w:rPr>
          <w:rStyle w:val="17"/>
          <w:rFonts w:hint="eastAsia" w:ascii="仿宋" w:hAnsi="仿宋" w:eastAsia="仿宋"/>
          <w:b w:val="0"/>
          <w:bCs/>
          <w:color w:val="000000"/>
          <w:sz w:val="32"/>
          <w:szCs w:val="32"/>
        </w:rPr>
      </w:pPr>
      <w:bookmarkStart w:id="51" w:name="OLE_LINK7"/>
      <w:r>
        <w:rPr>
          <w:rStyle w:val="17"/>
          <w:rFonts w:hint="eastAsia" w:ascii="仿宋" w:hAnsi="仿宋" w:eastAsia="仿宋"/>
          <w:bCs/>
          <w:color w:val="auto"/>
          <w:sz w:val="32"/>
          <w:szCs w:val="32"/>
          <w:highlight w:val="none"/>
          <w:lang w:val="en-US" w:eastAsia="zh-CN"/>
        </w:rPr>
        <w:t>6</w:t>
      </w:r>
      <w:r>
        <w:rPr>
          <w:rFonts w:hint="eastAsia" w:ascii="仿宋" w:hAnsi="仿宋" w:eastAsia="仿宋"/>
          <w:color w:val="auto"/>
          <w:sz w:val="32"/>
          <w:szCs w:val="32"/>
          <w:highlight w:val="none"/>
          <w:lang w:val="en-US" w:eastAsia="zh-CN"/>
        </w:rPr>
        <w:t>.</w:t>
      </w:r>
      <w:r>
        <w:rPr>
          <w:rStyle w:val="17"/>
          <w:rFonts w:hint="eastAsia" w:ascii="仿宋" w:hAnsi="仿宋" w:eastAsia="仿宋"/>
          <w:b/>
          <w:bCs w:val="0"/>
          <w:color w:val="000000"/>
          <w:sz w:val="32"/>
          <w:szCs w:val="32"/>
        </w:rPr>
        <w:t>住房保障支出</w:t>
      </w:r>
      <w:r>
        <w:rPr>
          <w:rStyle w:val="17"/>
          <w:rFonts w:hint="eastAsia" w:ascii="仿宋" w:hAnsi="仿宋" w:eastAsia="仿宋"/>
          <w:b/>
          <w:bCs w:val="0"/>
          <w:color w:val="000000"/>
          <w:sz w:val="32"/>
          <w:szCs w:val="32"/>
          <w:lang w:eastAsia="zh-CN"/>
        </w:rPr>
        <w:t>（类）住房改革支出（款）</w:t>
      </w:r>
      <w:r>
        <w:rPr>
          <w:rStyle w:val="17"/>
          <w:rFonts w:hint="eastAsia" w:ascii="仿宋" w:hAnsi="仿宋" w:eastAsia="仿宋"/>
          <w:b/>
          <w:bCs w:val="0"/>
          <w:color w:val="000000"/>
          <w:sz w:val="32"/>
          <w:szCs w:val="32"/>
        </w:rPr>
        <w:t xml:space="preserve"> 住房公积金</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75.23</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98.90</w:t>
      </w:r>
      <w:r>
        <w:rPr>
          <w:rStyle w:val="17"/>
          <w:rFonts w:hint="eastAsia" w:ascii="仿宋" w:hAnsi="仿宋" w:eastAsia="仿宋"/>
          <w:b w:val="0"/>
          <w:bCs/>
          <w:color w:val="000000"/>
          <w:sz w:val="32"/>
          <w:szCs w:val="32"/>
        </w:rPr>
        <w:t>%。</w:t>
      </w:r>
    </w:p>
    <w:bookmarkEnd w:id="51"/>
    <w:p w14:paraId="40C9221D">
      <w:pPr>
        <w:numPr>
          <w:ilvl w:val="0"/>
          <w:numId w:val="0"/>
        </w:numPr>
        <w:spacing w:line="600" w:lineRule="exact"/>
        <w:ind w:leftChars="0" w:firstLine="643" w:firstLineChars="200"/>
        <w:rPr>
          <w:rStyle w:val="17"/>
          <w:rFonts w:hint="eastAsia" w:ascii="仿宋" w:hAnsi="仿宋" w:eastAsia="仿宋"/>
          <w:b w:val="0"/>
          <w:bCs/>
          <w:color w:val="000000"/>
          <w:sz w:val="32"/>
          <w:szCs w:val="32"/>
        </w:rPr>
      </w:pPr>
      <w:bookmarkStart w:id="52" w:name="OLE_LINK8"/>
      <w:r>
        <w:rPr>
          <w:rStyle w:val="17"/>
          <w:rFonts w:hint="eastAsia" w:ascii="仿宋" w:hAnsi="仿宋" w:eastAsia="仿宋"/>
          <w:bCs/>
          <w:color w:val="auto"/>
          <w:sz w:val="32"/>
          <w:szCs w:val="32"/>
          <w:highlight w:val="none"/>
          <w:lang w:val="en-US" w:eastAsia="zh-CN"/>
        </w:rPr>
        <w:t>7</w:t>
      </w:r>
      <w:r>
        <w:rPr>
          <w:rFonts w:hint="eastAsia" w:ascii="仿宋" w:hAnsi="仿宋" w:eastAsia="仿宋"/>
          <w:color w:val="auto"/>
          <w:sz w:val="32"/>
          <w:szCs w:val="32"/>
          <w:highlight w:val="none"/>
          <w:lang w:val="en-US" w:eastAsia="zh-CN"/>
        </w:rPr>
        <w:t>.</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行政运行</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785.28</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99.20</w:t>
      </w:r>
      <w:r>
        <w:rPr>
          <w:rStyle w:val="17"/>
          <w:rFonts w:hint="eastAsia" w:ascii="仿宋" w:hAnsi="仿宋" w:eastAsia="仿宋"/>
          <w:b w:val="0"/>
          <w:bCs/>
          <w:color w:val="000000"/>
          <w:sz w:val="32"/>
          <w:szCs w:val="32"/>
        </w:rPr>
        <w:t>%。</w:t>
      </w:r>
    </w:p>
    <w:p w14:paraId="1D851995">
      <w:pPr>
        <w:numPr>
          <w:ilvl w:val="0"/>
          <w:numId w:val="0"/>
        </w:numPr>
        <w:spacing w:line="600" w:lineRule="exact"/>
        <w:ind w:leftChars="0" w:firstLine="640" w:firstLineChars="200"/>
        <w:rPr>
          <w:rStyle w:val="17"/>
          <w:rFonts w:hint="eastAsia" w:ascii="仿宋" w:hAnsi="仿宋" w:eastAsia="仿宋"/>
          <w:b w:val="0"/>
          <w:bCs/>
          <w:color w:val="000000"/>
          <w:sz w:val="32"/>
          <w:szCs w:val="32"/>
        </w:rPr>
      </w:pPr>
      <w:r>
        <w:rPr>
          <w:rFonts w:hint="eastAsia" w:ascii="仿宋" w:hAnsi="仿宋" w:eastAsia="仿宋"/>
          <w:color w:val="auto"/>
          <w:sz w:val="32"/>
          <w:szCs w:val="32"/>
          <w:highlight w:val="none"/>
          <w:lang w:val="en-US" w:eastAsia="zh-CN"/>
        </w:rPr>
        <w:t>8.</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 xml:space="preserve"> 一般行政管理事务</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312.18</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100</w:t>
      </w:r>
      <w:r>
        <w:rPr>
          <w:rStyle w:val="17"/>
          <w:rFonts w:hint="eastAsia" w:ascii="仿宋" w:hAnsi="仿宋" w:eastAsia="仿宋"/>
          <w:b w:val="0"/>
          <w:bCs/>
          <w:color w:val="000000"/>
          <w:sz w:val="32"/>
          <w:szCs w:val="32"/>
        </w:rPr>
        <w:t>%。</w:t>
      </w:r>
    </w:p>
    <w:p w14:paraId="7BE7501D">
      <w:pPr>
        <w:numPr>
          <w:ilvl w:val="0"/>
          <w:numId w:val="0"/>
        </w:numPr>
        <w:spacing w:line="600" w:lineRule="exact"/>
        <w:ind w:leftChars="0" w:firstLine="640" w:firstLineChars="200"/>
        <w:rPr>
          <w:rStyle w:val="17"/>
          <w:rFonts w:hint="eastAsia" w:ascii="仿宋" w:hAnsi="仿宋" w:eastAsia="仿宋"/>
          <w:b w:val="0"/>
          <w:bCs/>
          <w:color w:val="000000"/>
          <w:sz w:val="32"/>
          <w:szCs w:val="32"/>
        </w:rPr>
      </w:pPr>
      <w:r>
        <w:rPr>
          <w:rFonts w:hint="eastAsia" w:ascii="仿宋" w:hAnsi="仿宋" w:eastAsia="仿宋"/>
          <w:color w:val="auto"/>
          <w:sz w:val="32"/>
          <w:szCs w:val="32"/>
          <w:highlight w:val="none"/>
          <w:lang w:val="en-US" w:eastAsia="zh-CN"/>
        </w:rPr>
        <w:t>9.</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 xml:space="preserve">   安全监管</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29.00</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100</w:t>
      </w:r>
      <w:r>
        <w:rPr>
          <w:rStyle w:val="17"/>
          <w:rFonts w:hint="eastAsia" w:ascii="仿宋" w:hAnsi="仿宋" w:eastAsia="仿宋"/>
          <w:b w:val="0"/>
          <w:bCs/>
          <w:color w:val="000000"/>
          <w:sz w:val="32"/>
          <w:szCs w:val="32"/>
        </w:rPr>
        <w:t>%。</w:t>
      </w:r>
    </w:p>
    <w:p w14:paraId="7AC0BBEC">
      <w:pPr>
        <w:numPr>
          <w:ilvl w:val="0"/>
          <w:numId w:val="0"/>
        </w:numPr>
        <w:spacing w:line="600" w:lineRule="exact"/>
        <w:ind w:leftChars="0" w:firstLine="640" w:firstLineChars="200"/>
        <w:rPr>
          <w:rStyle w:val="17"/>
          <w:rFonts w:hint="eastAsia" w:ascii="仿宋" w:hAnsi="仿宋" w:eastAsia="仿宋"/>
          <w:b w:val="0"/>
          <w:bCs/>
          <w:color w:val="000000"/>
          <w:sz w:val="32"/>
          <w:szCs w:val="32"/>
        </w:rPr>
      </w:pPr>
      <w:r>
        <w:rPr>
          <w:rFonts w:hint="eastAsia" w:ascii="仿宋" w:hAnsi="仿宋" w:eastAsia="仿宋"/>
          <w:color w:val="auto"/>
          <w:sz w:val="32"/>
          <w:szCs w:val="32"/>
          <w:highlight w:val="none"/>
          <w:lang w:val="en-US" w:eastAsia="zh-CN"/>
        </w:rPr>
        <w:t>10.</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 xml:space="preserve">   应急管理</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131.38</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100</w:t>
      </w:r>
      <w:r>
        <w:rPr>
          <w:rStyle w:val="17"/>
          <w:rFonts w:hint="eastAsia" w:ascii="仿宋" w:hAnsi="仿宋" w:eastAsia="仿宋"/>
          <w:b w:val="0"/>
          <w:bCs/>
          <w:color w:val="000000"/>
          <w:sz w:val="32"/>
          <w:szCs w:val="32"/>
        </w:rPr>
        <w:t>%。</w:t>
      </w:r>
    </w:p>
    <w:p w14:paraId="35BCEBA9">
      <w:pPr>
        <w:numPr>
          <w:ilvl w:val="0"/>
          <w:numId w:val="0"/>
        </w:numPr>
        <w:spacing w:line="600" w:lineRule="exact"/>
        <w:ind w:leftChars="0" w:firstLine="640" w:firstLineChars="200"/>
        <w:rPr>
          <w:rFonts w:hint="eastAsia"/>
        </w:rPr>
      </w:pPr>
      <w:r>
        <w:rPr>
          <w:rFonts w:hint="eastAsia" w:ascii="仿宋" w:hAnsi="仿宋" w:eastAsia="仿宋"/>
          <w:color w:val="auto"/>
          <w:sz w:val="32"/>
          <w:szCs w:val="32"/>
          <w:highlight w:val="none"/>
          <w:lang w:val="en-US" w:eastAsia="zh-CN"/>
        </w:rPr>
        <w:t>11.</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 xml:space="preserve">   事业运行</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199.86</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97.26</w:t>
      </w:r>
      <w:r>
        <w:rPr>
          <w:rStyle w:val="17"/>
          <w:rFonts w:hint="eastAsia" w:ascii="仿宋" w:hAnsi="仿宋" w:eastAsia="仿宋"/>
          <w:b w:val="0"/>
          <w:bCs/>
          <w:color w:val="000000"/>
          <w:sz w:val="32"/>
          <w:szCs w:val="32"/>
        </w:rPr>
        <w:t>%。</w:t>
      </w:r>
    </w:p>
    <w:p w14:paraId="7725835F">
      <w:pPr>
        <w:numPr>
          <w:ilvl w:val="0"/>
          <w:numId w:val="0"/>
        </w:numPr>
        <w:spacing w:line="600" w:lineRule="exact"/>
        <w:ind w:leftChars="0" w:firstLine="640" w:firstLineChars="200"/>
        <w:rPr>
          <w:rStyle w:val="17"/>
          <w:rFonts w:hint="eastAsia" w:ascii="仿宋" w:hAnsi="仿宋" w:eastAsia="仿宋"/>
          <w:b w:val="0"/>
          <w:bCs/>
          <w:color w:val="000000"/>
          <w:sz w:val="32"/>
          <w:szCs w:val="32"/>
        </w:rPr>
      </w:pPr>
      <w:r>
        <w:rPr>
          <w:rFonts w:hint="eastAsia" w:ascii="仿宋" w:hAnsi="仿宋" w:eastAsia="仿宋"/>
          <w:color w:val="auto"/>
          <w:sz w:val="32"/>
          <w:szCs w:val="32"/>
          <w:highlight w:val="none"/>
          <w:lang w:val="en-US" w:eastAsia="zh-CN"/>
        </w:rPr>
        <w:t>12.</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（类）应急管理事务（款）</w:t>
      </w:r>
      <w:r>
        <w:rPr>
          <w:rStyle w:val="17"/>
          <w:rFonts w:hint="eastAsia" w:ascii="仿宋" w:hAnsi="仿宋" w:eastAsia="仿宋"/>
          <w:b/>
          <w:bCs w:val="0"/>
          <w:color w:val="000000"/>
          <w:sz w:val="32"/>
          <w:szCs w:val="32"/>
        </w:rPr>
        <w:t xml:space="preserve">   其他应急管理支出</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373.45</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50.08</w:t>
      </w:r>
      <w:r>
        <w:rPr>
          <w:rStyle w:val="17"/>
          <w:rFonts w:hint="eastAsia" w:ascii="仿宋" w:hAnsi="仿宋" w:eastAsia="仿宋"/>
          <w:b w:val="0"/>
          <w:bCs/>
          <w:color w:val="000000"/>
          <w:sz w:val="32"/>
          <w:szCs w:val="32"/>
        </w:rPr>
        <w:t>%。</w:t>
      </w:r>
    </w:p>
    <w:p w14:paraId="63D8AFAE">
      <w:pPr>
        <w:numPr>
          <w:ilvl w:val="0"/>
          <w:numId w:val="0"/>
        </w:numPr>
        <w:spacing w:line="600" w:lineRule="exact"/>
        <w:ind w:firstLine="320" w:firstLineChars="100"/>
        <w:rPr>
          <w:rStyle w:val="17"/>
          <w:rFonts w:hint="eastAsia" w:ascii="仿宋" w:hAnsi="仿宋" w:eastAsia="仿宋"/>
          <w:b w:val="0"/>
          <w:bCs/>
          <w:color w:val="000000"/>
          <w:sz w:val="32"/>
          <w:szCs w:val="32"/>
        </w:rPr>
      </w:pPr>
      <w:r>
        <w:rPr>
          <w:rStyle w:val="17"/>
          <w:rFonts w:hint="eastAsia" w:ascii="仿宋" w:hAnsi="仿宋" w:eastAsia="仿宋"/>
          <w:b w:val="0"/>
          <w:bCs/>
          <w:color w:val="000000"/>
          <w:sz w:val="32"/>
          <w:szCs w:val="32"/>
          <w:lang w:val="en-US" w:eastAsia="zh-CN"/>
        </w:rPr>
        <w:t xml:space="preserve"> </w:t>
      </w:r>
      <w:r>
        <w:rPr>
          <w:rFonts w:hint="eastAsia" w:ascii="仿宋" w:hAnsi="仿宋" w:eastAsia="仿宋"/>
          <w:color w:val="auto"/>
          <w:sz w:val="32"/>
          <w:szCs w:val="32"/>
          <w:highlight w:val="none"/>
          <w:lang w:val="en-US" w:eastAsia="zh-CN"/>
        </w:rPr>
        <w:t>13.</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w:t>
      </w:r>
      <w:r>
        <w:rPr>
          <w:rStyle w:val="17"/>
          <w:rFonts w:hint="eastAsia" w:ascii="仿宋" w:hAnsi="仿宋" w:eastAsia="仿宋"/>
          <w:b/>
          <w:bCs w:val="0"/>
          <w:color w:val="000000"/>
          <w:sz w:val="32"/>
          <w:szCs w:val="32"/>
          <w:lang w:val="en-US" w:eastAsia="zh-CN"/>
        </w:rPr>
        <w:t>消防救援事务</w:t>
      </w:r>
      <w:r>
        <w:rPr>
          <w:rStyle w:val="17"/>
          <w:rFonts w:hint="eastAsia" w:ascii="仿宋" w:hAnsi="仿宋" w:eastAsia="仿宋"/>
          <w:b/>
          <w:bCs w:val="0"/>
          <w:color w:val="000000"/>
          <w:sz w:val="32"/>
          <w:szCs w:val="32"/>
          <w:lang w:eastAsia="zh-CN"/>
        </w:rPr>
        <w:t>（款）</w:t>
      </w:r>
      <w:r>
        <w:rPr>
          <w:rStyle w:val="17"/>
          <w:rFonts w:hint="eastAsia" w:ascii="仿宋" w:hAnsi="仿宋" w:eastAsia="仿宋"/>
          <w:b/>
          <w:bCs w:val="0"/>
          <w:color w:val="000000"/>
          <w:sz w:val="32"/>
          <w:szCs w:val="32"/>
        </w:rPr>
        <w:t xml:space="preserve">   </w:t>
      </w:r>
      <w:r>
        <w:rPr>
          <w:rStyle w:val="17"/>
          <w:rFonts w:hint="eastAsia" w:ascii="仿宋" w:hAnsi="仿宋" w:eastAsia="仿宋"/>
          <w:b/>
          <w:bCs w:val="0"/>
          <w:color w:val="000000"/>
          <w:sz w:val="32"/>
          <w:szCs w:val="32"/>
          <w:lang w:val="en-US" w:eastAsia="zh-CN"/>
        </w:rPr>
        <w:t>消防应急救援</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233.28</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29.16</w:t>
      </w:r>
      <w:r>
        <w:rPr>
          <w:rStyle w:val="17"/>
          <w:rFonts w:hint="eastAsia" w:ascii="仿宋" w:hAnsi="仿宋" w:eastAsia="仿宋"/>
          <w:b w:val="0"/>
          <w:bCs/>
          <w:color w:val="000000"/>
          <w:sz w:val="32"/>
          <w:szCs w:val="32"/>
        </w:rPr>
        <w:t>%。</w:t>
      </w:r>
    </w:p>
    <w:p w14:paraId="10A09A0F">
      <w:pPr>
        <w:numPr>
          <w:ilvl w:val="0"/>
          <w:numId w:val="0"/>
        </w:numPr>
        <w:spacing w:line="600" w:lineRule="exact"/>
        <w:ind w:firstLine="320" w:firstLineChars="100"/>
        <w:rPr>
          <w:rStyle w:val="17"/>
          <w:rFonts w:hint="eastAsia" w:ascii="仿宋" w:hAnsi="仿宋" w:eastAsia="仿宋"/>
          <w:b w:val="0"/>
          <w:bCs/>
          <w:color w:val="000000"/>
          <w:sz w:val="32"/>
          <w:szCs w:val="32"/>
        </w:rPr>
      </w:pPr>
      <w:r>
        <w:rPr>
          <w:rStyle w:val="17"/>
          <w:rFonts w:hint="eastAsia" w:ascii="仿宋" w:hAnsi="仿宋" w:eastAsia="仿宋"/>
          <w:b w:val="0"/>
          <w:bCs/>
          <w:color w:val="000000"/>
          <w:sz w:val="32"/>
          <w:szCs w:val="32"/>
          <w:lang w:val="en-US" w:eastAsia="zh-CN"/>
        </w:rPr>
        <w:t xml:space="preserve"> </w:t>
      </w:r>
      <w:r>
        <w:rPr>
          <w:rFonts w:hint="eastAsia" w:ascii="仿宋" w:hAnsi="仿宋" w:eastAsia="仿宋"/>
          <w:color w:val="auto"/>
          <w:sz w:val="32"/>
          <w:szCs w:val="32"/>
          <w:highlight w:val="none"/>
          <w:lang w:val="en-US" w:eastAsia="zh-CN"/>
        </w:rPr>
        <w:t>14.</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（类）</w:t>
      </w:r>
      <w:r>
        <w:rPr>
          <w:rStyle w:val="17"/>
          <w:rFonts w:hint="eastAsia" w:ascii="仿宋" w:hAnsi="仿宋" w:eastAsia="仿宋"/>
          <w:b/>
          <w:bCs w:val="0"/>
          <w:color w:val="000000"/>
          <w:sz w:val="32"/>
          <w:szCs w:val="32"/>
          <w:lang w:val="en-US" w:eastAsia="zh-CN"/>
        </w:rPr>
        <w:t>其他</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（款）</w:t>
      </w:r>
      <w:r>
        <w:rPr>
          <w:rStyle w:val="17"/>
          <w:rFonts w:hint="eastAsia" w:ascii="仿宋" w:hAnsi="仿宋" w:eastAsia="仿宋"/>
          <w:b/>
          <w:bCs w:val="0"/>
          <w:color w:val="000000"/>
          <w:sz w:val="32"/>
          <w:szCs w:val="32"/>
          <w:lang w:val="en-US" w:eastAsia="zh-CN"/>
        </w:rPr>
        <w:t>其他</w:t>
      </w:r>
      <w:r>
        <w:rPr>
          <w:rStyle w:val="17"/>
          <w:rFonts w:hint="eastAsia" w:ascii="仿宋" w:hAnsi="仿宋" w:eastAsia="仿宋"/>
          <w:b/>
          <w:bCs w:val="0"/>
          <w:color w:val="000000"/>
          <w:sz w:val="32"/>
          <w:szCs w:val="32"/>
        </w:rPr>
        <w:t>灾害防治及应急管理支出</w:t>
      </w:r>
      <w:r>
        <w:rPr>
          <w:rStyle w:val="17"/>
          <w:rFonts w:hint="eastAsia" w:ascii="仿宋" w:hAnsi="仿宋" w:eastAsia="仿宋"/>
          <w:b/>
          <w:bCs w:val="0"/>
          <w:color w:val="000000"/>
          <w:sz w:val="32"/>
          <w:szCs w:val="32"/>
          <w:lang w:eastAsia="zh-CN"/>
        </w:rPr>
        <w:t>（项）：</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128.03</w:t>
      </w:r>
      <w:r>
        <w:rPr>
          <w:rStyle w:val="17"/>
          <w:rFonts w:hint="eastAsia" w:ascii="仿宋" w:hAnsi="仿宋" w:eastAsia="仿宋"/>
          <w:b w:val="0"/>
          <w:bCs/>
          <w:color w:val="000000"/>
          <w:sz w:val="32"/>
          <w:szCs w:val="32"/>
          <w:lang w:eastAsia="zh-CN"/>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93.8</w:t>
      </w:r>
      <w:r>
        <w:rPr>
          <w:rStyle w:val="17"/>
          <w:rFonts w:hint="eastAsia" w:ascii="仿宋" w:hAnsi="仿宋" w:eastAsia="仿宋"/>
          <w:b w:val="0"/>
          <w:bCs/>
          <w:color w:val="000000"/>
          <w:sz w:val="32"/>
          <w:szCs w:val="32"/>
        </w:rPr>
        <w:t>%。</w:t>
      </w:r>
    </w:p>
    <w:bookmarkEnd w:id="52"/>
    <w:p w14:paraId="3D587991">
      <w:pPr>
        <w:spacing w:line="600" w:lineRule="exact"/>
        <w:ind w:firstLine="640"/>
        <w:rPr>
          <w:rFonts w:ascii="仿宋" w:hAnsi="仿宋" w:eastAsia="仿宋"/>
          <w:b/>
          <w:sz w:val="32"/>
          <w:szCs w:val="32"/>
        </w:rPr>
      </w:pPr>
    </w:p>
    <w:p w14:paraId="21A5B6AC">
      <w:pPr>
        <w:tabs>
          <w:tab w:val="right" w:pos="8306"/>
        </w:tabs>
        <w:spacing w:line="600" w:lineRule="exact"/>
        <w:ind w:firstLine="640"/>
        <w:outlineLvl w:val="1"/>
        <w:rPr>
          <w:rStyle w:val="29"/>
        </w:rPr>
      </w:pPr>
      <w:bookmarkStart w:id="53" w:name="_Toc15377214"/>
      <w:bookmarkStart w:id="54" w:name="_Toc15396608"/>
      <w:bookmarkStart w:id="55" w:name="_Toc1034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53"/>
      <w:bookmarkEnd w:id="54"/>
      <w:bookmarkEnd w:id="55"/>
      <w:r>
        <w:rPr>
          <w:rStyle w:val="29"/>
          <w:rFonts w:ascii="黑体" w:hAnsi="黑体" w:eastAsia="黑体"/>
          <w:b w:val="0"/>
        </w:rPr>
        <w:tab/>
      </w:r>
    </w:p>
    <w:p w14:paraId="123786F5">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1205.41</w:t>
      </w:r>
      <w:r>
        <w:rPr>
          <w:rFonts w:hint="eastAsia" w:ascii="仿宋" w:hAnsi="仿宋" w:eastAsia="仿宋"/>
          <w:sz w:val="32"/>
          <w:szCs w:val="32"/>
        </w:rPr>
        <w:t>万元，其中：</w:t>
      </w:r>
    </w:p>
    <w:p w14:paraId="1EC6CA4D">
      <w:pPr>
        <w:spacing w:line="600" w:lineRule="exact"/>
        <w:ind w:firstLine="645"/>
        <w:rPr>
          <w:rFonts w:hint="eastAsia" w:ascii="仿宋" w:hAnsi="仿宋" w:eastAsia="仿宋"/>
          <w:sz w:val="32"/>
          <w:szCs w:val="32"/>
          <w:lang w:eastAsia="zh-CN"/>
        </w:rPr>
      </w:pPr>
      <w:r>
        <w:rPr>
          <w:rFonts w:hint="eastAsia" w:ascii="仿宋" w:hAnsi="仿宋" w:eastAsia="仿宋"/>
          <w:sz w:val="32"/>
          <w:szCs w:val="32"/>
        </w:rPr>
        <w:t>人员经费</w:t>
      </w:r>
      <w:r>
        <w:rPr>
          <w:rFonts w:ascii="仿宋" w:hAnsi="仿宋" w:eastAsia="仿宋"/>
          <w:b/>
          <w:sz w:val="32"/>
          <w:szCs w:val="32"/>
        </w:rPr>
        <w:t>978.98</w:t>
      </w:r>
      <w:r>
        <w:rPr>
          <w:rFonts w:hint="eastAsia" w:ascii="仿宋" w:hAnsi="仿宋" w:eastAsia="仿宋"/>
          <w:sz w:val="32"/>
          <w:szCs w:val="32"/>
        </w:rPr>
        <w:t>万元，主要包括：基本工资、津贴补贴、奖金、绩效工资、机关事业单位基本养老保险缴费其他社会保障缴费、其他工资福利支出退休费医疗费补助、奖励金、住房公积金、其他对个人和家庭的补助支出等。</w:t>
      </w:r>
    </w:p>
    <w:p w14:paraId="5A2059D1">
      <w:pPr>
        <w:spacing w:line="600" w:lineRule="exact"/>
        <w:ind w:firstLine="645"/>
        <w:rPr>
          <w:rFonts w:ascii="仿宋" w:hAnsi="仿宋" w:eastAsia="仿宋"/>
          <w:sz w:val="32"/>
          <w:szCs w:val="32"/>
        </w:rPr>
      </w:pPr>
      <w:r>
        <w:rPr>
          <w:rFonts w:hint="eastAsia" w:ascii="仿宋" w:hAnsi="仿宋" w:eastAsia="仿宋"/>
          <w:sz w:val="32"/>
          <w:szCs w:val="32"/>
        </w:rPr>
        <w:t>公用经费</w:t>
      </w:r>
      <w:r>
        <w:rPr>
          <w:rFonts w:ascii="仿宋" w:hAnsi="仿宋" w:eastAsia="仿宋"/>
          <w:b/>
          <w:sz w:val="32"/>
          <w:szCs w:val="32"/>
        </w:rPr>
        <w:t>226.44</w:t>
      </w:r>
      <w:r>
        <w:rPr>
          <w:rFonts w:hint="eastAsia" w:ascii="仿宋" w:hAnsi="仿宋" w:eastAsia="仿宋"/>
          <w:sz w:val="32"/>
          <w:szCs w:val="32"/>
        </w:rPr>
        <w:t>万元，主要包括：办公费、印刷费、邮电费、物业管理费、差旅费、维修（护）费、租赁费、会议费、培训费、公务接待费、劳务费、委托业务费、工会经费、福利费、公务用车运行维护费、其他、税金及附加费用、其他商品和服务支出、办公设备购置、专用设备购置、信息网络及软件购置更新、其他资本性支出等。</w:t>
      </w:r>
    </w:p>
    <w:p w14:paraId="311D11DD">
      <w:pPr>
        <w:spacing w:line="600" w:lineRule="exact"/>
        <w:ind w:firstLine="640"/>
        <w:outlineLvl w:val="1"/>
        <w:rPr>
          <w:rStyle w:val="29"/>
          <w:rFonts w:ascii="黑体" w:hAnsi="黑体" w:eastAsia="黑体"/>
          <w:b w:val="0"/>
        </w:rPr>
      </w:pPr>
      <w:bookmarkStart w:id="56" w:name="_Toc15396609"/>
      <w:bookmarkStart w:id="57" w:name="_Toc14919"/>
      <w:bookmarkStart w:id="58" w:name="_Toc15377215"/>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56"/>
      <w:bookmarkEnd w:id="57"/>
      <w:bookmarkEnd w:id="58"/>
    </w:p>
    <w:p w14:paraId="3EC548A8">
      <w:pPr>
        <w:spacing w:line="600" w:lineRule="exact"/>
        <w:ind w:firstLine="640"/>
        <w:outlineLvl w:val="2"/>
        <w:rPr>
          <w:rFonts w:ascii="仿宋" w:hAnsi="仿宋" w:eastAsia="仿宋"/>
          <w:b/>
          <w:sz w:val="32"/>
          <w:szCs w:val="32"/>
        </w:rPr>
      </w:pPr>
      <w:bookmarkStart w:id="59" w:name="_Toc15377216"/>
      <w:r>
        <w:rPr>
          <w:rFonts w:hint="eastAsia" w:ascii="仿宋" w:hAnsi="仿宋" w:eastAsia="仿宋"/>
          <w:b/>
          <w:sz w:val="32"/>
          <w:szCs w:val="32"/>
        </w:rPr>
        <w:t>（一）“三公”经费财政拨款支出决算总体情况说明</w:t>
      </w:r>
      <w:bookmarkEnd w:id="59"/>
    </w:p>
    <w:p w14:paraId="69268102">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29.87</w:t>
      </w:r>
      <w:r>
        <w:rPr>
          <w:rFonts w:hint="eastAsia" w:ascii="仿宋" w:hAnsi="仿宋" w:eastAsia="仿宋"/>
          <w:sz w:val="32"/>
          <w:szCs w:val="32"/>
        </w:rPr>
        <w:t>万元，完成预算</w:t>
      </w:r>
      <w:r>
        <w:rPr>
          <w:rFonts w:ascii="仿宋" w:hAnsi="仿宋" w:eastAsia="仿宋"/>
          <w:b/>
          <w:sz w:val="32"/>
          <w:szCs w:val="32"/>
        </w:rPr>
        <w:t>96.67</w:t>
      </w:r>
      <w:r>
        <w:rPr>
          <w:rFonts w:ascii="仿宋" w:hAnsi="仿宋" w:eastAsia="仿宋"/>
          <w:sz w:val="32"/>
          <w:szCs w:val="32"/>
        </w:rPr>
        <w:t>%</w:t>
      </w:r>
      <w:r>
        <w:rPr>
          <w:rFonts w:hint="eastAsia" w:ascii="仿宋" w:hAnsi="仿宋" w:eastAsia="仿宋"/>
          <w:sz w:val="32"/>
          <w:szCs w:val="32"/>
        </w:rPr>
        <w:t>，较上年度减少</w:t>
      </w:r>
      <w:r>
        <w:rPr>
          <w:rFonts w:hint="eastAsia" w:ascii="仿宋" w:hAnsi="仿宋" w:eastAsia="仿宋"/>
          <w:sz w:val="32"/>
          <w:szCs w:val="32"/>
          <w:lang w:val="en-US" w:eastAsia="zh-CN"/>
        </w:rPr>
        <w:t>25.70</w:t>
      </w:r>
      <w:r>
        <w:rPr>
          <w:rFonts w:hint="eastAsia" w:ascii="仿宋" w:hAnsi="仿宋" w:eastAsia="仿宋"/>
          <w:sz w:val="32"/>
          <w:szCs w:val="32"/>
        </w:rPr>
        <w:t>万元，下降</w:t>
      </w:r>
      <w:r>
        <w:rPr>
          <w:rFonts w:hint="eastAsia" w:ascii="仿宋" w:hAnsi="仿宋" w:eastAsia="仿宋"/>
          <w:sz w:val="32"/>
          <w:szCs w:val="32"/>
          <w:lang w:val="en-US" w:eastAsia="zh-CN"/>
        </w:rPr>
        <w:t>46.25</w:t>
      </w:r>
      <w:r>
        <w:rPr>
          <w:rFonts w:hint="eastAsia" w:ascii="仿宋" w:hAnsi="仿宋" w:eastAsia="仿宋"/>
          <w:sz w:val="32"/>
          <w:szCs w:val="32"/>
        </w:rPr>
        <w:t>%。决算数</w:t>
      </w:r>
      <w:r>
        <w:rPr>
          <w:rFonts w:hint="eastAsia" w:ascii="仿宋" w:hAnsi="仿宋" w:eastAsia="仿宋"/>
          <w:sz w:val="32"/>
          <w:szCs w:val="32"/>
          <w:lang w:val="en-US" w:eastAsia="zh-CN"/>
        </w:rPr>
        <w:t>与</w:t>
      </w:r>
      <w:r>
        <w:rPr>
          <w:rFonts w:hint="eastAsia" w:ascii="仿宋" w:hAnsi="仿宋" w:eastAsia="仿宋"/>
          <w:sz w:val="32"/>
          <w:szCs w:val="32"/>
        </w:rPr>
        <w:t>预算数</w:t>
      </w:r>
      <w:r>
        <w:rPr>
          <w:rFonts w:hint="eastAsia" w:ascii="仿宋" w:hAnsi="仿宋" w:eastAsia="仿宋"/>
          <w:sz w:val="32"/>
          <w:szCs w:val="32"/>
          <w:lang w:val="en-US" w:eastAsia="zh-CN"/>
        </w:rPr>
        <w:t>基本持平</w:t>
      </w:r>
      <w:r>
        <w:rPr>
          <w:rFonts w:hint="eastAsia" w:ascii="仿宋" w:hAnsi="仿宋" w:eastAsia="仿宋"/>
          <w:sz w:val="32"/>
          <w:szCs w:val="32"/>
        </w:rPr>
        <w:t>。</w:t>
      </w:r>
    </w:p>
    <w:p w14:paraId="01EF496F">
      <w:pPr>
        <w:spacing w:line="600" w:lineRule="exact"/>
        <w:ind w:firstLine="640"/>
        <w:outlineLvl w:val="2"/>
        <w:rPr>
          <w:rFonts w:ascii="仿宋" w:hAnsi="仿宋" w:eastAsia="仿宋"/>
          <w:b/>
          <w:sz w:val="32"/>
          <w:szCs w:val="32"/>
        </w:rPr>
      </w:pPr>
      <w:bookmarkStart w:id="60" w:name="_Toc15377217"/>
      <w:r>
        <w:rPr>
          <w:rFonts w:hint="eastAsia" w:ascii="仿宋" w:hAnsi="仿宋" w:eastAsia="仿宋"/>
          <w:b/>
          <w:sz w:val="32"/>
          <w:szCs w:val="32"/>
        </w:rPr>
        <w:t>（二）“三公”经费财政拨款支出决算具体情况说明</w:t>
      </w:r>
      <w:bookmarkEnd w:id="60"/>
    </w:p>
    <w:p w14:paraId="6F4E59E5">
      <w:pPr>
        <w:spacing w:line="600" w:lineRule="exact"/>
        <w:ind w:firstLine="640"/>
        <w:rPr>
          <w:rFonts w:hint="eastAsia"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23.97</w:t>
      </w:r>
      <w:r>
        <w:rPr>
          <w:rFonts w:hint="eastAsia" w:ascii="仿宋" w:hAnsi="仿宋" w:eastAsia="仿宋"/>
          <w:sz w:val="32"/>
          <w:szCs w:val="32"/>
        </w:rPr>
        <w:t>万元，占</w:t>
      </w:r>
      <w:r>
        <w:rPr>
          <w:rFonts w:ascii="仿宋" w:hAnsi="仿宋" w:eastAsia="仿宋"/>
          <w:b/>
          <w:sz w:val="32"/>
          <w:szCs w:val="32"/>
        </w:rPr>
        <w:t>80.24</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5.9</w:t>
      </w:r>
      <w:r>
        <w:rPr>
          <w:rFonts w:hint="eastAsia" w:ascii="仿宋" w:hAnsi="仿宋" w:eastAsia="仿宋"/>
          <w:sz w:val="32"/>
          <w:szCs w:val="32"/>
        </w:rPr>
        <w:t>万元，占</w:t>
      </w:r>
      <w:r>
        <w:rPr>
          <w:rFonts w:ascii="仿宋" w:hAnsi="仿宋" w:eastAsia="仿宋"/>
          <w:b/>
          <w:sz w:val="32"/>
          <w:szCs w:val="32"/>
        </w:rPr>
        <w:t>19.75</w:t>
      </w:r>
      <w:r>
        <w:rPr>
          <w:rFonts w:ascii="仿宋" w:hAnsi="仿宋" w:eastAsia="仿宋"/>
          <w:sz w:val="32"/>
          <w:szCs w:val="32"/>
        </w:rPr>
        <w:t>%</w:t>
      </w:r>
      <w:r>
        <w:rPr>
          <w:rFonts w:hint="eastAsia" w:ascii="仿宋" w:hAnsi="仿宋" w:eastAsia="仿宋"/>
          <w:sz w:val="32"/>
          <w:szCs w:val="32"/>
        </w:rPr>
        <w:t>。具体情况如下：</w:t>
      </w:r>
    </w:p>
    <w:p w14:paraId="0BDEA2E3">
      <w:pPr>
        <w:pStyle w:val="2"/>
        <w:rPr>
          <w:rFonts w:hint="eastAsia" w:ascii="仿宋" w:hAnsi="仿宋" w:eastAsia="仿宋"/>
          <w:sz w:val="32"/>
          <w:szCs w:val="32"/>
        </w:rPr>
      </w:pPr>
      <w:r>
        <w:rPr>
          <w:rFonts w:hint="eastAsia" w:ascii="Times New Roman" w:hAnsi="Times New Roman" w:eastAsia="仿宋_GB2312" w:cs="Times New Roman"/>
          <w:b w:val="0"/>
          <w:bCs/>
          <w:sz w:val="32"/>
          <w:szCs w:val="32"/>
          <w:lang w:val="en-US" w:eastAsia="zh-CN"/>
        </w:rPr>
        <w:pict>
          <v:shape id="Object 12" o:spid="_x0000_s1032" o:spt="75" type="#_x0000_t75" style="position:absolute;left:0pt;margin-left:-2.1pt;margin-top:13.15pt;height:155.85pt;width:446.9pt;z-index:251663360;mso-width-relative:page;mso-height-relative:page;" o:ole="t" filled="f" o:preferrelative="t" stroked="f" coordsize="21600,21600">
            <v:path/>
            <v:fill on="f" focussize="0,0"/>
            <v:stroke on="f"/>
            <v:imagedata r:id="rId17" o:title=""/>
            <o:lock v:ext="edit" aspectratio="t"/>
          </v:shape>
          <o:OLEObject Type="Embed" ProgID="Excel.Sheet.12" ShapeID="Object 12" DrawAspect="Content" ObjectID="_1468075730" r:id="rId16">
            <o:LockedField>false</o:LockedField>
          </o:OLEObject>
        </w:pict>
      </w:r>
    </w:p>
    <w:p w14:paraId="27BAC835">
      <w:pPr>
        <w:pStyle w:val="2"/>
        <w:rPr>
          <w:rFonts w:hint="eastAsia" w:ascii="仿宋" w:hAnsi="仿宋" w:eastAsia="仿宋"/>
          <w:sz w:val="32"/>
          <w:szCs w:val="32"/>
        </w:rPr>
      </w:pPr>
    </w:p>
    <w:p w14:paraId="2FBE1596">
      <w:pPr>
        <w:pStyle w:val="2"/>
        <w:rPr>
          <w:rFonts w:hint="eastAsia" w:ascii="仿宋" w:hAnsi="仿宋" w:eastAsia="仿宋"/>
          <w:sz w:val="32"/>
          <w:szCs w:val="32"/>
        </w:rPr>
      </w:pPr>
    </w:p>
    <w:p w14:paraId="116F3A3C">
      <w:pPr>
        <w:pStyle w:val="2"/>
        <w:rPr>
          <w:rFonts w:hint="eastAsia" w:ascii="仿宋" w:hAnsi="仿宋" w:eastAsia="仿宋"/>
          <w:sz w:val="32"/>
          <w:szCs w:val="32"/>
        </w:rPr>
      </w:pPr>
    </w:p>
    <w:p w14:paraId="787A611D">
      <w:pPr>
        <w:pStyle w:val="2"/>
        <w:rPr>
          <w:rFonts w:hint="eastAsia" w:ascii="仿宋" w:hAnsi="仿宋" w:eastAsia="仿宋"/>
          <w:sz w:val="32"/>
          <w:szCs w:val="32"/>
        </w:rPr>
      </w:pPr>
    </w:p>
    <w:p w14:paraId="47DF836D">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75E5B84C">
      <w:pPr>
        <w:spacing w:line="600" w:lineRule="exact"/>
        <w:ind w:firstLine="640"/>
        <w:rPr>
          <w:rFonts w:ascii="仿宋_GB2312" w:eastAsia="仿宋_GB2312"/>
          <w:sz w:val="32"/>
          <w:szCs w:val="32"/>
        </w:rPr>
      </w:pPr>
      <w:bookmarkStart w:id="61" w:name="_Toc15377218"/>
      <w:bookmarkStart w:id="62" w:name="_Toc15396610"/>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000000"/>
          <w:sz w:val="32"/>
          <w:szCs w:val="32"/>
        </w:rPr>
        <w:t>因公出国（境）支出决算</w:t>
      </w:r>
      <w:r>
        <w:rPr>
          <w:rFonts w:hint="eastAsia" w:ascii="仿宋_GB2312" w:eastAsia="仿宋_GB2312"/>
          <w:color w:val="000000"/>
          <w:sz w:val="32"/>
          <w:szCs w:val="32"/>
          <w:lang w:val="en-US" w:eastAsia="zh-CN"/>
        </w:rPr>
        <w:t>与2022决算数持平</w:t>
      </w:r>
      <w:r>
        <w:rPr>
          <w:rFonts w:hint="eastAsia" w:ascii="仿宋_GB2312" w:eastAsia="仿宋_GB2312"/>
          <w:color w:val="000000"/>
          <w:sz w:val="32"/>
          <w:szCs w:val="32"/>
        </w:rPr>
        <w:t>。</w:t>
      </w:r>
    </w:p>
    <w:p w14:paraId="1873C356">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23.97</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99.88</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公务用车购置及运行维护费支出决算比2022年度减少</w:t>
      </w:r>
      <w:r>
        <w:rPr>
          <w:rFonts w:hint="eastAsia" w:ascii="仿宋_GB2312" w:eastAsia="仿宋_GB2312"/>
          <w:sz w:val="32"/>
          <w:szCs w:val="32"/>
          <w:lang w:val="en-US" w:eastAsia="zh-CN"/>
        </w:rPr>
        <w:t>28.1</w:t>
      </w:r>
      <w:r>
        <w:rPr>
          <w:rFonts w:hint="eastAsia" w:ascii="仿宋_GB2312" w:eastAsia="仿宋_GB2312"/>
          <w:sz w:val="32"/>
          <w:szCs w:val="32"/>
        </w:rPr>
        <w:t>万元，下降</w:t>
      </w:r>
      <w:r>
        <w:rPr>
          <w:rFonts w:hint="eastAsia" w:ascii="仿宋_GB2312" w:eastAsia="仿宋_GB2312"/>
          <w:sz w:val="32"/>
          <w:szCs w:val="32"/>
          <w:lang w:val="en-US" w:eastAsia="zh-CN"/>
        </w:rPr>
        <w:t>53.97</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本年度无公务用车购置支出</w:t>
      </w:r>
      <w:r>
        <w:rPr>
          <w:rFonts w:hint="eastAsia" w:ascii="仿宋_GB2312" w:eastAsia="仿宋_GB2312"/>
          <w:sz w:val="32"/>
          <w:szCs w:val="32"/>
        </w:rPr>
        <w:t>。</w:t>
      </w:r>
    </w:p>
    <w:p w14:paraId="0E1F08BB">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w:t>
      </w:r>
      <w:r>
        <w:rPr>
          <w:rFonts w:hint="eastAsia" w:ascii="仿宋_GB2312" w:eastAsia="仿宋_GB2312"/>
          <w:color w:val="000000"/>
          <w:sz w:val="32"/>
          <w:szCs w:val="32"/>
          <w:highlight w:val="none"/>
        </w:rPr>
        <w:t>其中：轿车0辆、金额</w:t>
      </w:r>
      <w:r>
        <w:rPr>
          <w:rFonts w:hint="eastAsia" w:ascii="仿宋" w:hAnsi="仿宋" w:eastAsia="仿宋" w:cs="仿宋"/>
          <w:i w:val="0"/>
          <w:iCs w:val="0"/>
          <w:caps w:val="0"/>
          <w:color w:val="333333"/>
          <w:spacing w:val="0"/>
          <w:sz w:val="32"/>
          <w:szCs w:val="32"/>
          <w:highlight w:val="none"/>
          <w:shd w:val="clear" w:fill="FFFFFF"/>
          <w:lang w:val="en-US" w:eastAsia="zh-CN"/>
        </w:rPr>
        <w:t>0</w:t>
      </w:r>
      <w:r>
        <w:rPr>
          <w:rFonts w:hint="eastAsia" w:ascii="仿宋_GB2312" w:eastAsia="仿宋_GB2312"/>
          <w:color w:val="000000"/>
          <w:sz w:val="32"/>
          <w:szCs w:val="32"/>
          <w:highlight w:val="none"/>
        </w:rPr>
        <w:t>万元，越野车</w:t>
      </w:r>
      <w:r>
        <w:rPr>
          <w:rFonts w:hint="eastAsia" w:ascii="仿宋_GB2312" w:eastAsia="仿宋_GB2312"/>
          <w:color w:val="000000"/>
          <w:sz w:val="32"/>
          <w:szCs w:val="32"/>
          <w:highlight w:val="none"/>
          <w:lang w:val="en-US" w:eastAsia="zh-CN"/>
        </w:rPr>
        <w:t>0</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金额</w:t>
      </w:r>
      <w:r>
        <w:rPr>
          <w:rFonts w:hint="eastAsia" w:ascii="仿宋" w:hAnsi="仿宋" w:eastAsia="仿宋" w:cs="仿宋"/>
          <w:i w:val="0"/>
          <w:iCs w:val="0"/>
          <w:caps w:val="0"/>
          <w:color w:val="333333"/>
          <w:spacing w:val="0"/>
          <w:sz w:val="32"/>
          <w:szCs w:val="32"/>
          <w:highlight w:val="none"/>
          <w:shd w:val="clear" w:fill="FFFFFF"/>
          <w:lang w:val="en-US" w:eastAsia="zh-CN"/>
        </w:rPr>
        <w:t>0</w:t>
      </w:r>
      <w:r>
        <w:rPr>
          <w:rFonts w:hint="eastAsia" w:ascii="仿宋_GB2312" w:eastAsia="仿宋_GB2312"/>
          <w:color w:val="000000"/>
          <w:sz w:val="32"/>
          <w:szCs w:val="32"/>
          <w:highlight w:val="none"/>
        </w:rPr>
        <w:t>万元，载客汽车0辆、金额0万元</w:t>
      </w: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val="en-US" w:eastAsia="zh-CN"/>
        </w:rPr>
        <w:t>小型货车1</w:t>
      </w:r>
      <w:r>
        <w:rPr>
          <w:rFonts w:hint="eastAsia" w:ascii="仿宋_GB2312" w:eastAsia="仿宋_GB2312"/>
          <w:color w:val="auto"/>
          <w:sz w:val="32"/>
          <w:szCs w:val="32"/>
          <w:highlight w:val="none"/>
        </w:rPr>
        <w:t>辆</w:t>
      </w:r>
      <w:r>
        <w:rPr>
          <w:rFonts w:hint="eastAsia" w:ascii="仿宋_GB2312" w:eastAsia="仿宋_GB2312"/>
          <w:sz w:val="32"/>
          <w:szCs w:val="32"/>
        </w:rPr>
        <w:t>。</w:t>
      </w:r>
    </w:p>
    <w:p w14:paraId="32162796">
      <w:pPr>
        <w:spacing w:line="600" w:lineRule="exact"/>
        <w:ind w:firstLine="640"/>
        <w:rPr>
          <w:rFonts w:ascii="仿宋_GB2312" w:eastAsia="仿宋_GB2312"/>
          <w:color w:val="auto"/>
          <w:sz w:val="32"/>
          <w:szCs w:val="32"/>
          <w:highlight w:val="none"/>
        </w:rPr>
      </w:pPr>
      <w:r>
        <w:rPr>
          <w:rFonts w:hint="eastAsia" w:ascii="仿宋_GB2312" w:eastAsia="仿宋_GB2312"/>
          <w:b/>
          <w:sz w:val="32"/>
          <w:szCs w:val="32"/>
        </w:rPr>
        <w:t>公务用车运行维护费支出</w:t>
      </w:r>
      <w:r>
        <w:rPr>
          <w:rFonts w:ascii="仿宋" w:hAnsi="仿宋" w:eastAsia="仿宋"/>
          <w:b/>
          <w:sz w:val="32"/>
          <w:szCs w:val="32"/>
        </w:rPr>
        <w:t>23.97</w:t>
      </w:r>
      <w:r>
        <w:rPr>
          <w:rFonts w:hint="eastAsia" w:ascii="仿宋_GB2312" w:eastAsia="仿宋_GB2312"/>
          <w:sz w:val="32"/>
          <w:szCs w:val="32"/>
        </w:rPr>
        <w:t>万元。</w:t>
      </w:r>
      <w:r>
        <w:rPr>
          <w:rFonts w:hint="eastAsia" w:ascii="仿宋_GB2312" w:eastAsia="仿宋_GB2312"/>
          <w:color w:val="auto"/>
          <w:sz w:val="32"/>
          <w:szCs w:val="32"/>
          <w:highlight w:val="none"/>
        </w:rPr>
        <w:t>主</w:t>
      </w:r>
      <w:bookmarkStart w:id="63" w:name="OLE_LINK9"/>
      <w:r>
        <w:rPr>
          <w:rFonts w:hint="eastAsia" w:ascii="仿宋_GB2312" w:eastAsia="仿宋_GB2312"/>
          <w:color w:val="auto"/>
          <w:sz w:val="32"/>
          <w:szCs w:val="32"/>
          <w:highlight w:val="none"/>
        </w:rPr>
        <w:t>要用于</w:t>
      </w:r>
      <w:r>
        <w:rPr>
          <w:rFonts w:hint="eastAsia" w:ascii="仿宋_GB2312" w:eastAsia="仿宋_GB2312"/>
          <w:color w:val="auto"/>
          <w:sz w:val="32"/>
          <w:szCs w:val="32"/>
          <w:highlight w:val="none"/>
          <w:lang w:val="en-US" w:eastAsia="zh-CN"/>
        </w:rPr>
        <w:t>应急、防火救灾等</w:t>
      </w:r>
      <w:r>
        <w:rPr>
          <w:rFonts w:hint="eastAsia" w:ascii="仿宋" w:hAnsi="仿宋" w:eastAsia="仿宋" w:cs="仿宋"/>
          <w:i w:val="0"/>
          <w:iCs w:val="0"/>
          <w:caps w:val="0"/>
          <w:color w:val="000000"/>
          <w:spacing w:val="0"/>
          <w:sz w:val="32"/>
          <w:szCs w:val="32"/>
          <w:highlight w:val="none"/>
          <w:shd w:val="clear" w:fill="FFFFFF"/>
        </w:rPr>
        <w:t>相关工作</w:t>
      </w:r>
      <w:r>
        <w:rPr>
          <w:rFonts w:hint="eastAsia" w:ascii="仿宋_GB2312" w:eastAsia="仿宋_GB2312"/>
          <w:color w:val="auto"/>
          <w:sz w:val="32"/>
          <w:szCs w:val="32"/>
          <w:highlight w:val="none"/>
        </w:rPr>
        <w:t>所需的公务用车燃料费、维修费、过路过桥费、保险费等支出。</w:t>
      </w:r>
    </w:p>
    <w:bookmarkEnd w:id="63"/>
    <w:p w14:paraId="20F9BACC">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5.9</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85.5%</w:t>
      </w:r>
      <w:r>
        <w:rPr>
          <w:rStyle w:val="17"/>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2.4</w:t>
      </w:r>
      <w:r>
        <w:rPr>
          <w:rFonts w:hint="eastAsia" w:ascii="仿宋_GB2312" w:eastAsia="仿宋_GB2312"/>
          <w:sz w:val="32"/>
          <w:szCs w:val="32"/>
        </w:rPr>
        <w:t>万元，增长</w:t>
      </w:r>
      <w:r>
        <w:rPr>
          <w:rFonts w:hint="eastAsia" w:ascii="仿宋_GB2312" w:eastAsia="仿宋_GB2312"/>
          <w:sz w:val="32"/>
          <w:szCs w:val="32"/>
          <w:lang w:val="en-US" w:eastAsia="zh-CN"/>
        </w:rPr>
        <w:t>68.57</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业务工作需要，本年度新增公务接待费</w:t>
      </w:r>
      <w:r>
        <w:rPr>
          <w:rFonts w:hint="eastAsia" w:ascii="仿宋_GB2312" w:eastAsia="仿宋_GB2312"/>
          <w:sz w:val="32"/>
          <w:szCs w:val="32"/>
        </w:rPr>
        <w:t>。其中：</w:t>
      </w:r>
    </w:p>
    <w:p w14:paraId="222B21A8">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5.9</w:t>
      </w:r>
      <w:r>
        <w:rPr>
          <w:rFonts w:hint="eastAsia" w:ascii="仿宋_GB2312" w:eastAsia="仿宋_GB2312"/>
          <w:sz w:val="32"/>
          <w:szCs w:val="32"/>
        </w:rPr>
        <w:t>万元，</w:t>
      </w:r>
      <w:bookmarkStart w:id="64" w:name="OLE_LINK10"/>
      <w:r>
        <w:rPr>
          <w:rFonts w:hint="eastAsia" w:ascii="仿宋_GB2312" w:eastAsia="仿宋_GB2312"/>
          <w:color w:val="auto"/>
          <w:sz w:val="32"/>
          <w:szCs w:val="32"/>
          <w:highlight w:val="none"/>
        </w:rPr>
        <w:t>主要用于执行公务、开展业务活动开支的交通费、住宿费、用餐费等。</w:t>
      </w:r>
      <w:r>
        <w:rPr>
          <w:rFonts w:hint="eastAsia" w:ascii="仿宋_GB2312" w:eastAsia="仿宋_GB2312"/>
          <w:sz w:val="32"/>
          <w:szCs w:val="32"/>
        </w:rPr>
        <w:t>国内公务接待</w:t>
      </w:r>
      <w:r>
        <w:rPr>
          <w:rFonts w:hint="eastAsia" w:ascii="仿宋_GB2312" w:eastAsia="仿宋_GB2312"/>
          <w:sz w:val="32"/>
          <w:szCs w:val="32"/>
          <w:lang w:val="en-US" w:eastAsia="zh-CN"/>
        </w:rPr>
        <w:t>44</w:t>
      </w:r>
      <w:r>
        <w:rPr>
          <w:rFonts w:hint="eastAsia" w:ascii="仿宋_GB2312" w:eastAsia="仿宋_GB2312"/>
          <w:sz w:val="32"/>
          <w:szCs w:val="32"/>
        </w:rPr>
        <w:t>批次，</w:t>
      </w:r>
      <w:r>
        <w:rPr>
          <w:rFonts w:hint="eastAsia" w:ascii="仿宋_GB2312" w:eastAsia="仿宋_GB2312"/>
          <w:sz w:val="32"/>
          <w:szCs w:val="32"/>
          <w:lang w:val="en-US" w:eastAsia="zh-CN"/>
        </w:rPr>
        <w:t>576</w:t>
      </w:r>
      <w:r>
        <w:rPr>
          <w:rFonts w:hint="eastAsia" w:ascii="仿宋_GB2312" w:eastAsia="仿宋_GB2312"/>
          <w:sz w:val="32"/>
          <w:szCs w:val="32"/>
        </w:rPr>
        <w:t>人次，共计支出</w:t>
      </w:r>
      <w:r>
        <w:rPr>
          <w:rFonts w:hint="eastAsia" w:ascii="仿宋_GB2312" w:eastAsia="仿宋_GB2312"/>
          <w:sz w:val="32"/>
          <w:szCs w:val="32"/>
          <w:lang w:val="en-US" w:eastAsia="zh-CN"/>
        </w:rPr>
        <w:t>5.9</w:t>
      </w:r>
      <w:r>
        <w:rPr>
          <w:rFonts w:hint="eastAsia" w:ascii="仿宋_GB2312" w:eastAsia="仿宋_GB2312"/>
          <w:sz w:val="32"/>
          <w:szCs w:val="32"/>
        </w:rPr>
        <w:t>万元，国务院安会委第六综合组</w:t>
      </w:r>
      <w:r>
        <w:rPr>
          <w:rFonts w:hint="eastAsia" w:ascii="仿宋_GB2312" w:eastAsia="仿宋_GB2312"/>
          <w:sz w:val="32"/>
          <w:szCs w:val="32"/>
          <w:lang w:eastAsia="zh-CN"/>
        </w:rPr>
        <w:t>、省安委会安全生产第八巡查组、阿坝检查组行政执法监督检查、应急管理部莅遂调研调</w:t>
      </w:r>
      <w:bookmarkStart w:id="65" w:name="OLE_LINK1"/>
      <w:r>
        <w:rPr>
          <w:rFonts w:hint="eastAsia" w:ascii="仿宋_GB2312" w:eastAsia="仿宋_GB2312"/>
          <w:sz w:val="32"/>
          <w:szCs w:val="32"/>
          <w:lang w:eastAsia="zh-CN"/>
        </w:rPr>
        <w:t>查评估</w:t>
      </w:r>
      <w:bookmarkEnd w:id="65"/>
      <w:r>
        <w:rPr>
          <w:rFonts w:hint="eastAsia" w:ascii="仿宋_GB2312" w:eastAsia="仿宋_GB2312"/>
          <w:sz w:val="32"/>
          <w:szCs w:val="32"/>
          <w:lang w:eastAsia="zh-CN"/>
        </w:rPr>
        <w:t>和统计、省指导组莅遂宁指导本地应急预案、省防汛减灾督导组、省地震局工作考核交叉检查、内江应急局到遂开展交叉检查、成都大运会应急指挥部省级巡回监管</w:t>
      </w:r>
      <w:r>
        <w:rPr>
          <w:rFonts w:hint="eastAsia" w:ascii="仿宋_GB2312" w:eastAsia="仿宋_GB2312"/>
          <w:sz w:val="32"/>
          <w:szCs w:val="32"/>
          <w:highlight w:val="none"/>
          <w:lang w:eastAsia="zh-CN"/>
        </w:rPr>
        <w:t>组</w:t>
      </w:r>
      <w:r>
        <w:rPr>
          <w:rFonts w:hint="eastAsia" w:ascii="仿宋_GB2312" w:eastAsia="仿宋_GB2312"/>
          <w:color w:val="auto"/>
          <w:sz w:val="32"/>
          <w:szCs w:val="32"/>
          <w:highlight w:val="none"/>
          <w:lang w:val="en-US" w:eastAsia="zh-CN"/>
        </w:rPr>
        <w:t>等。</w:t>
      </w:r>
      <w:bookmarkEnd w:id="64"/>
    </w:p>
    <w:p w14:paraId="2A5BB193">
      <w:pPr>
        <w:spacing w:line="600" w:lineRule="exact"/>
        <w:ind w:firstLine="643" w:firstLineChars="200"/>
      </w:pPr>
      <w:r>
        <w:rPr>
          <w:rFonts w:hint="eastAsia" w:ascii="仿宋" w:hAnsi="仿宋" w:eastAsia="仿宋"/>
          <w:b/>
          <w:color w:val="000000"/>
          <w:sz w:val="32"/>
          <w:szCs w:val="32"/>
        </w:rPr>
        <w:t>外事接待支出</w:t>
      </w:r>
      <w:r>
        <w:rPr>
          <w:rFonts w:hint="eastAsia" w:ascii="仿宋" w:hAnsi="仿宋" w:eastAsia="仿宋"/>
          <w:color w:val="000000"/>
          <w:sz w:val="32"/>
          <w:szCs w:val="32"/>
        </w:rPr>
        <w:t>0</w:t>
      </w:r>
      <w:r>
        <w:rPr>
          <w:rFonts w:hint="eastAsia" w:ascii="仿宋_GB2312" w:eastAsia="仿宋_GB2312"/>
          <w:color w:val="000000"/>
          <w:sz w:val="32"/>
          <w:szCs w:val="32"/>
        </w:rPr>
        <w:t>万元，外事接待0批次，0人，共计支出0万元</w:t>
      </w:r>
      <w:r>
        <w:rPr>
          <w:rFonts w:hint="eastAsia" w:ascii="仿宋_GB2312" w:eastAsia="仿宋_GB2312"/>
          <w:color w:val="000000"/>
          <w:sz w:val="32"/>
          <w:szCs w:val="32"/>
          <w:lang w:eastAsia="zh-CN"/>
        </w:rPr>
        <w:t>。</w:t>
      </w:r>
    </w:p>
    <w:p w14:paraId="42093848">
      <w:pPr>
        <w:spacing w:line="600" w:lineRule="exact"/>
        <w:ind w:firstLine="640"/>
        <w:outlineLvl w:val="1"/>
        <w:rPr>
          <w:rStyle w:val="29"/>
          <w:rFonts w:ascii="黑体" w:hAnsi="黑体" w:eastAsia="黑体"/>
        </w:rPr>
      </w:pPr>
      <w:bookmarkStart w:id="66" w:name="_Toc21855"/>
      <w:r>
        <w:rPr>
          <w:rFonts w:hint="eastAsia" w:ascii="黑体" w:eastAsia="黑体"/>
          <w:sz w:val="32"/>
          <w:szCs w:val="32"/>
        </w:rPr>
        <w:t>八、</w:t>
      </w:r>
      <w:r>
        <w:rPr>
          <w:rStyle w:val="29"/>
          <w:rFonts w:hint="eastAsia" w:ascii="黑体" w:hAnsi="黑体" w:eastAsia="黑体"/>
          <w:b w:val="0"/>
        </w:rPr>
        <w:t>政府性基金预算支出决算情况说明</w:t>
      </w:r>
      <w:bookmarkEnd w:id="61"/>
      <w:bookmarkEnd w:id="62"/>
      <w:bookmarkEnd w:id="66"/>
    </w:p>
    <w:p w14:paraId="6250D9C9">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044C34A1">
      <w:pPr>
        <w:numPr>
          <w:ilvl w:val="0"/>
          <w:numId w:val="3"/>
        </w:numPr>
        <w:spacing w:line="600" w:lineRule="exact"/>
        <w:ind w:firstLine="640"/>
        <w:outlineLvl w:val="1"/>
        <w:rPr>
          <w:rStyle w:val="29"/>
          <w:rFonts w:ascii="黑体" w:hAnsi="黑体" w:eastAsia="黑体"/>
          <w:b w:val="0"/>
        </w:rPr>
      </w:pPr>
      <w:bookmarkStart w:id="67" w:name="_Toc15725"/>
      <w:bookmarkStart w:id="68" w:name="_Toc15377219"/>
      <w:bookmarkStart w:id="69" w:name="_Toc15396611"/>
      <w:r>
        <w:rPr>
          <w:rStyle w:val="29"/>
          <w:rFonts w:hint="eastAsia" w:ascii="黑体" w:hAnsi="黑体" w:eastAsia="黑体"/>
          <w:b w:val="0"/>
        </w:rPr>
        <w:t>国有资本经营预算支出决算情况说明</w:t>
      </w:r>
      <w:bookmarkEnd w:id="67"/>
      <w:bookmarkEnd w:id="68"/>
      <w:bookmarkEnd w:id="69"/>
    </w:p>
    <w:p w14:paraId="2FD82460">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5DACB208">
      <w:pPr>
        <w:numPr>
          <w:ilvl w:val="0"/>
          <w:numId w:val="3"/>
        </w:numPr>
        <w:spacing w:line="600" w:lineRule="exact"/>
        <w:ind w:firstLine="640"/>
        <w:outlineLvl w:val="1"/>
        <w:rPr>
          <w:rStyle w:val="29"/>
          <w:rFonts w:ascii="黑体" w:hAnsi="黑体" w:eastAsia="黑体"/>
          <w:b w:val="0"/>
        </w:rPr>
      </w:pPr>
      <w:bookmarkStart w:id="70" w:name="_Toc15396612"/>
      <w:bookmarkStart w:id="71" w:name="_Toc15377221"/>
      <w:bookmarkStart w:id="72" w:name="_Toc5878"/>
      <w:r>
        <w:rPr>
          <w:rStyle w:val="29"/>
          <w:rFonts w:hint="eastAsia" w:ascii="黑体" w:hAnsi="黑体" w:eastAsia="黑体"/>
          <w:b w:val="0"/>
        </w:rPr>
        <w:t>其他重要事项的情况说明</w:t>
      </w:r>
      <w:bookmarkEnd w:id="70"/>
      <w:bookmarkEnd w:id="71"/>
      <w:bookmarkEnd w:id="72"/>
    </w:p>
    <w:p w14:paraId="298A1910">
      <w:pPr>
        <w:spacing w:line="600" w:lineRule="exact"/>
        <w:ind w:firstLine="643" w:firstLineChars="200"/>
        <w:outlineLvl w:val="2"/>
        <w:rPr>
          <w:rFonts w:ascii="仿宋" w:hAnsi="仿宋" w:eastAsia="仿宋"/>
          <w:sz w:val="32"/>
          <w:szCs w:val="32"/>
        </w:rPr>
      </w:pPr>
      <w:bookmarkStart w:id="73" w:name="_Toc15377222"/>
      <w:r>
        <w:rPr>
          <w:rFonts w:hint="eastAsia" w:ascii="仿宋" w:hAnsi="仿宋" w:eastAsia="仿宋"/>
          <w:b/>
          <w:sz w:val="32"/>
          <w:szCs w:val="32"/>
        </w:rPr>
        <w:t>（一）机关运行经费支出情况</w:t>
      </w:r>
      <w:bookmarkEnd w:id="73"/>
    </w:p>
    <w:p w14:paraId="311A2C5E">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四川省遂宁市应急管理局（本级）</w:t>
      </w:r>
      <w:r>
        <w:rPr>
          <w:rFonts w:hint="eastAsia" w:ascii="仿宋_GB2312" w:eastAsia="仿宋_GB2312"/>
          <w:sz w:val="32"/>
          <w:szCs w:val="32"/>
        </w:rPr>
        <w:t>机关运行经费支出</w:t>
      </w:r>
      <w:r>
        <w:rPr>
          <w:rFonts w:ascii="仿宋" w:hAnsi="仿宋" w:eastAsia="仿宋"/>
          <w:b/>
          <w:sz w:val="32"/>
          <w:szCs w:val="32"/>
        </w:rPr>
        <w:t>226.44</w:t>
      </w:r>
      <w:r>
        <w:rPr>
          <w:rFonts w:hint="eastAsia" w:ascii="仿宋_GB2312" w:eastAsia="仿宋_GB2312"/>
          <w:sz w:val="32"/>
          <w:szCs w:val="32"/>
        </w:rPr>
        <w:t>万元，比2022年度增加</w:t>
      </w:r>
      <w:r>
        <w:rPr>
          <w:rFonts w:hint="eastAsia" w:ascii="仿宋_GB2312" w:eastAsia="仿宋_GB2312"/>
          <w:sz w:val="32"/>
          <w:szCs w:val="32"/>
          <w:lang w:val="en-US" w:eastAsia="zh-CN"/>
        </w:rPr>
        <w:t>33.99</w:t>
      </w:r>
      <w:r>
        <w:rPr>
          <w:rFonts w:hint="eastAsia" w:ascii="仿宋_GB2312" w:eastAsia="仿宋_GB2312"/>
          <w:sz w:val="32"/>
          <w:szCs w:val="32"/>
        </w:rPr>
        <w:t>万元，增长</w:t>
      </w:r>
      <w:r>
        <w:rPr>
          <w:rFonts w:hint="eastAsia" w:ascii="仿宋_GB2312" w:eastAsia="仿宋_GB2312"/>
          <w:sz w:val="32"/>
          <w:szCs w:val="32"/>
          <w:lang w:val="en-US" w:eastAsia="zh-CN"/>
        </w:rPr>
        <w:t>17.66</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因工作需要，本年度公用经费增加</w:t>
      </w:r>
      <w:r>
        <w:rPr>
          <w:rFonts w:hint="eastAsia" w:ascii="仿宋_GB2312" w:eastAsia="仿宋_GB2312"/>
          <w:sz w:val="32"/>
          <w:szCs w:val="32"/>
        </w:rPr>
        <w:t>。</w:t>
      </w:r>
    </w:p>
    <w:p w14:paraId="01219CA4">
      <w:pPr>
        <w:autoSpaceDE w:val="0"/>
        <w:autoSpaceDN w:val="0"/>
        <w:adjustRightInd w:val="0"/>
        <w:spacing w:line="600" w:lineRule="exact"/>
        <w:ind w:firstLine="643" w:firstLineChars="200"/>
        <w:jc w:val="left"/>
        <w:outlineLvl w:val="2"/>
        <w:rPr>
          <w:rFonts w:ascii="仿宋" w:hAnsi="仿宋" w:eastAsia="仿宋"/>
          <w:b/>
          <w:sz w:val="32"/>
          <w:szCs w:val="32"/>
        </w:rPr>
      </w:pPr>
      <w:bookmarkStart w:id="74" w:name="_Toc15377223"/>
      <w:r>
        <w:rPr>
          <w:rFonts w:hint="eastAsia" w:ascii="仿宋" w:hAnsi="仿宋" w:eastAsia="仿宋"/>
          <w:b/>
          <w:sz w:val="32"/>
          <w:szCs w:val="32"/>
        </w:rPr>
        <w:t>（二）政府采购支出情况</w:t>
      </w:r>
      <w:bookmarkEnd w:id="74"/>
    </w:p>
    <w:p w14:paraId="093314F5">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四川省遂宁市应急管理局（本级）</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288EB71F">
      <w:pPr>
        <w:autoSpaceDE w:val="0"/>
        <w:autoSpaceDN w:val="0"/>
        <w:adjustRightInd w:val="0"/>
        <w:spacing w:line="600" w:lineRule="exact"/>
        <w:ind w:firstLine="643" w:firstLineChars="200"/>
        <w:jc w:val="left"/>
        <w:outlineLvl w:val="2"/>
        <w:rPr>
          <w:rFonts w:ascii="仿宋" w:hAnsi="仿宋" w:eastAsia="仿宋"/>
          <w:b/>
          <w:sz w:val="32"/>
          <w:szCs w:val="32"/>
        </w:rPr>
      </w:pPr>
      <w:bookmarkStart w:id="75" w:name="_Toc15377224"/>
      <w:r>
        <w:rPr>
          <w:rFonts w:hint="eastAsia" w:ascii="仿宋" w:hAnsi="仿宋" w:eastAsia="仿宋"/>
          <w:b/>
          <w:sz w:val="32"/>
          <w:szCs w:val="32"/>
        </w:rPr>
        <w:t>（三）国有资产占有使用情况</w:t>
      </w:r>
      <w:bookmarkEnd w:id="75"/>
    </w:p>
    <w:p w14:paraId="78D0F17A">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四川省遂宁市应急管理局（本级）</w:t>
      </w:r>
      <w:r>
        <w:rPr>
          <w:rFonts w:hint="eastAsia" w:ascii="仿宋_GB2312" w:eastAsia="仿宋_GB2312"/>
          <w:sz w:val="32"/>
          <w:szCs w:val="32"/>
        </w:rPr>
        <w:t>共有车辆</w:t>
      </w:r>
      <w:r>
        <w:rPr>
          <w:rFonts w:hint="eastAsia" w:ascii="仿宋_GB2312" w:eastAsia="仿宋_GB2312"/>
          <w:b/>
          <w:sz w:val="32"/>
          <w:szCs w:val="32"/>
        </w:rPr>
        <w:t>5</w:t>
      </w:r>
      <w:r>
        <w:rPr>
          <w:rFonts w:hint="eastAsia" w:ascii="仿宋_GB2312" w:eastAsia="仿宋_GB2312"/>
          <w:sz w:val="32"/>
          <w:szCs w:val="32"/>
        </w:rPr>
        <w:t>辆，其</w:t>
      </w:r>
      <w:r>
        <w:rPr>
          <w:rFonts w:hint="eastAsia" w:ascii="仿宋_GB2312" w:eastAsia="仿宋_GB2312"/>
          <w:color w:val="auto"/>
          <w:sz w:val="32"/>
          <w:szCs w:val="32"/>
          <w:highlight w:val="none"/>
        </w:rPr>
        <w:t>其中：</w:t>
      </w:r>
      <w:r>
        <w:rPr>
          <w:rFonts w:hint="eastAsia" w:ascii="仿宋" w:hAnsi="仿宋" w:eastAsia="仿宋" w:cs="仿宋"/>
          <w:sz w:val="32"/>
          <w:szCs w:val="32"/>
          <w:lang w:val="en-US" w:eastAsia="zh-CN"/>
        </w:rPr>
        <w:t>应急保障用车4辆，特种专业技术用车1辆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5055F20C">
      <w:pPr>
        <w:autoSpaceDE w:val="0"/>
        <w:autoSpaceDN w:val="0"/>
        <w:adjustRightInd w:val="0"/>
        <w:spacing w:line="600" w:lineRule="exact"/>
        <w:ind w:firstLine="643" w:firstLineChars="200"/>
        <w:jc w:val="left"/>
        <w:outlineLvl w:val="2"/>
        <w:rPr>
          <w:rFonts w:ascii="仿宋" w:hAnsi="仿宋" w:eastAsia="仿宋"/>
          <w:b/>
          <w:sz w:val="32"/>
          <w:szCs w:val="32"/>
          <w:highlight w:val="none"/>
        </w:rPr>
      </w:pPr>
      <w:r>
        <w:rPr>
          <w:rFonts w:hint="eastAsia" w:ascii="仿宋" w:hAnsi="仿宋" w:eastAsia="仿宋"/>
          <w:b/>
          <w:sz w:val="32"/>
          <w:szCs w:val="32"/>
          <w:highlight w:val="none"/>
        </w:rPr>
        <w:t>（四）预算绩效管理情况</w:t>
      </w:r>
    </w:p>
    <w:p w14:paraId="000A747B">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w:t>
      </w:r>
      <w:bookmarkStart w:id="76" w:name="OLE_LINK11"/>
      <w:r>
        <w:rPr>
          <w:rFonts w:hint="eastAsia" w:ascii="仿宋_GB2312" w:eastAsia="仿宋_GB2312"/>
          <w:sz w:val="32"/>
          <w:szCs w:val="32"/>
        </w:rPr>
        <w:t>组织对</w:t>
      </w:r>
      <w:r>
        <w:rPr>
          <w:rFonts w:hint="eastAsia" w:ascii="仿宋_GB2312" w:eastAsia="仿宋_GB2312"/>
          <w:sz w:val="32"/>
          <w:szCs w:val="32"/>
          <w:lang w:eastAsia="zh-CN"/>
        </w:rPr>
        <w:t>应急管理保</w:t>
      </w:r>
      <w:bookmarkStart w:id="77" w:name="OLE_LINK3"/>
      <w:r>
        <w:rPr>
          <w:rFonts w:hint="eastAsia" w:ascii="仿宋_GB2312" w:eastAsia="仿宋_GB2312"/>
          <w:sz w:val="32"/>
          <w:szCs w:val="32"/>
          <w:lang w:eastAsia="zh-CN"/>
        </w:rPr>
        <w:t>障服务</w:t>
      </w:r>
      <w:bookmarkEnd w:id="77"/>
      <w:r>
        <w:rPr>
          <w:rFonts w:hint="eastAsia" w:ascii="仿宋_GB2312" w:eastAsia="仿宋_GB2312"/>
          <w:sz w:val="32"/>
          <w:szCs w:val="32"/>
        </w:rPr>
        <w:t>项目</w:t>
      </w:r>
      <w:r>
        <w:rPr>
          <w:rFonts w:hint="eastAsia" w:ascii="仿宋_GB2312" w:eastAsia="仿宋_GB2312"/>
          <w:sz w:val="32"/>
          <w:szCs w:val="32"/>
          <w:lang w:eastAsia="zh-CN"/>
        </w:rPr>
        <w:t>、</w:t>
      </w:r>
      <w:r>
        <w:rPr>
          <w:rFonts w:hint="eastAsia" w:ascii="仿宋_GB2312" w:eastAsia="仿宋_GB2312"/>
          <w:sz w:val="32"/>
          <w:szCs w:val="32"/>
          <w:lang w:val="en-US" w:eastAsia="zh-CN"/>
        </w:rPr>
        <w:t>消防装备提升项目</w:t>
      </w:r>
      <w:r>
        <w:rPr>
          <w:rFonts w:hint="eastAsia" w:ascii="仿宋_GB2312" w:eastAsia="仿宋_GB2312"/>
          <w:sz w:val="32"/>
          <w:szCs w:val="32"/>
        </w:rPr>
        <w:t>等</w:t>
      </w:r>
      <w:r>
        <w:rPr>
          <w:rFonts w:hint="eastAsia" w:ascii="仿宋_GB2312" w:eastAsia="仿宋_GB2312"/>
          <w:sz w:val="32"/>
          <w:szCs w:val="32"/>
          <w:lang w:val="en-US" w:eastAsia="zh-CN"/>
        </w:rPr>
        <w:t>2</w:t>
      </w:r>
      <w:r>
        <w:rPr>
          <w:rFonts w:hint="eastAsia" w:ascii="仿宋_GB2312" w:eastAsia="仿宋_GB2312"/>
          <w:sz w:val="32"/>
          <w:szCs w:val="32"/>
        </w:rPr>
        <w:t>个项目开展了预算事前绩效评估，</w:t>
      </w:r>
      <w:bookmarkEnd w:id="76"/>
      <w:r>
        <w:rPr>
          <w:rFonts w:hint="eastAsia" w:ascii="仿宋_GB2312" w:eastAsia="仿宋_GB2312"/>
          <w:sz w:val="32"/>
          <w:szCs w:val="32"/>
        </w:rPr>
        <w:t>对</w:t>
      </w:r>
      <w:r>
        <w:rPr>
          <w:rFonts w:hint="eastAsia" w:ascii="仿宋_GB2312" w:eastAsia="仿宋_GB2312"/>
          <w:sz w:val="32"/>
          <w:szCs w:val="32"/>
          <w:lang w:val="en-US" w:eastAsia="zh-CN"/>
        </w:rPr>
        <w:t>57</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13</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13</w:t>
      </w:r>
      <w:r>
        <w:rPr>
          <w:rFonts w:hint="eastAsia" w:ascii="仿宋_GB2312" w:eastAsia="仿宋_GB2312"/>
          <w:sz w:val="32"/>
          <w:szCs w:val="32"/>
        </w:rPr>
        <w:t>个项目开展绩效自评，绩效自评表详见第四部分附件。</w:t>
      </w:r>
    </w:p>
    <w:p w14:paraId="6115E261">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6152B97B">
      <w:pPr>
        <w:numPr>
          <w:ilvl w:val="0"/>
          <w:numId w:val="4"/>
        </w:numPr>
        <w:spacing w:line="600" w:lineRule="exact"/>
        <w:ind w:firstLine="660" w:firstLineChars="150"/>
        <w:jc w:val="center"/>
        <w:outlineLvl w:val="0"/>
        <w:rPr>
          <w:rStyle w:val="28"/>
          <w:rFonts w:ascii="黑体" w:hAnsi="黑体" w:eastAsia="黑体"/>
          <w:b w:val="0"/>
        </w:rPr>
      </w:pPr>
      <w:bookmarkStart w:id="78" w:name="_Toc23596"/>
      <w:bookmarkStart w:id="79" w:name="_Toc15377225"/>
      <w:bookmarkStart w:id="80" w:name="_Toc15396613"/>
      <w:r>
        <w:rPr>
          <w:rFonts w:hint="eastAsia" w:ascii="黑体" w:hAnsi="黑体" w:eastAsia="黑体"/>
          <w:sz w:val="44"/>
          <w:szCs w:val="44"/>
        </w:rPr>
        <w:t>名</w:t>
      </w:r>
      <w:r>
        <w:rPr>
          <w:rStyle w:val="28"/>
          <w:rFonts w:hint="eastAsia" w:ascii="黑体" w:hAnsi="黑体" w:eastAsia="黑体"/>
          <w:b w:val="0"/>
        </w:rPr>
        <w:t>词解释</w:t>
      </w:r>
      <w:bookmarkEnd w:id="78"/>
      <w:bookmarkEnd w:id="79"/>
      <w:bookmarkEnd w:id="80"/>
    </w:p>
    <w:p w14:paraId="66D821D6">
      <w:pPr>
        <w:spacing w:line="600" w:lineRule="exact"/>
        <w:jc w:val="left"/>
        <w:rPr>
          <w:rFonts w:ascii="宋体"/>
          <w:b/>
          <w:sz w:val="44"/>
          <w:szCs w:val="44"/>
        </w:rPr>
      </w:pPr>
    </w:p>
    <w:p w14:paraId="2A952D8D">
      <w:pPr>
        <w:pStyle w:val="13"/>
        <w:keepNext w:val="0"/>
        <w:keepLines w:val="0"/>
        <w:widowControl/>
        <w:suppressLineNumbers w:val="0"/>
        <w:shd w:val="clear" w:fill="FFFFFF"/>
        <w:spacing w:before="0" w:beforeAutospacing="0" w:after="150" w:afterAutospacing="0"/>
        <w:ind w:left="0" w:right="0" w:firstLine="0"/>
        <w:jc w:val="both"/>
        <w:outlineLvl w:val="1"/>
        <w:rPr>
          <w:rFonts w:hint="eastAsia" w:ascii="仿宋_GB2312" w:hAnsi="仿宋_GB2312" w:eastAsia="仿宋_GB2312" w:cs="仿宋_GB2312"/>
          <w:color w:val="auto"/>
          <w:kern w:val="0"/>
          <w:sz w:val="32"/>
          <w:szCs w:val="32"/>
          <w:highlight w:val="none"/>
          <w:lang w:val="en-US" w:eastAsia="zh-CN" w:bidi="ar-SA"/>
        </w:rPr>
      </w:pPr>
      <w:bookmarkStart w:id="81" w:name="_Toc16969"/>
      <w:bookmarkStart w:id="82" w:name="_Toc15396614"/>
      <w:bookmarkStart w:id="83" w:name="_Toc15377226"/>
      <w:r>
        <w:rPr>
          <w:rFonts w:hint="eastAsia" w:ascii="仿宋_GB2312" w:hAnsi="仿宋_GB2312" w:eastAsia="仿宋_GB2312" w:cs="仿宋_GB2312"/>
          <w:color w:val="auto"/>
          <w:kern w:val="0"/>
          <w:sz w:val="32"/>
          <w:szCs w:val="32"/>
          <w:highlight w:val="none"/>
          <w:lang w:val="en-US" w:eastAsia="zh-CN" w:bidi="ar-SA"/>
        </w:rPr>
        <w:t>1.财政拨款收入：指单位从同级财政部门取得的财政预算资金。</w:t>
      </w:r>
      <w:bookmarkEnd w:id="81"/>
    </w:p>
    <w:p w14:paraId="2540C8A5">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2.事业收入：指事业单位开展专业业务活动及辅助活动取得的收入。</w:t>
      </w:r>
    </w:p>
    <w:p w14:paraId="2A990EF9">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3.经营收入：指事业单位在专业业务活动及其辅助活动之外开展非独立核算经营活动取得的收入。</w:t>
      </w:r>
    </w:p>
    <w:p w14:paraId="1190ED7A">
      <w:pPr>
        <w:pStyle w:val="13"/>
        <w:keepNext w:val="0"/>
        <w:keepLines w:val="0"/>
        <w:widowControl/>
        <w:suppressLineNumbers w:val="0"/>
        <w:shd w:val="clear" w:fill="FFFFFF"/>
        <w:spacing w:before="0" w:beforeAutospacing="0" w:after="150" w:afterAutospacing="0"/>
        <w:ind w:left="0" w:right="0" w:firstLine="0"/>
        <w:jc w:val="both"/>
        <w:outlineLvl w:val="1"/>
        <w:rPr>
          <w:rFonts w:hint="eastAsia" w:ascii="仿宋_GB2312" w:hAnsi="仿宋_GB2312" w:eastAsia="仿宋_GB2312" w:cs="仿宋_GB2312"/>
          <w:color w:val="auto"/>
          <w:kern w:val="0"/>
          <w:sz w:val="32"/>
          <w:szCs w:val="32"/>
          <w:highlight w:val="none"/>
          <w:lang w:val="en-US" w:eastAsia="zh-CN" w:bidi="ar-SA"/>
        </w:rPr>
      </w:pPr>
      <w:bookmarkStart w:id="84" w:name="_Toc11562"/>
      <w:r>
        <w:rPr>
          <w:rFonts w:hint="eastAsia" w:ascii="仿宋_GB2312" w:hAnsi="仿宋_GB2312" w:eastAsia="仿宋_GB2312" w:cs="仿宋_GB2312"/>
          <w:color w:val="auto"/>
          <w:kern w:val="0"/>
          <w:sz w:val="32"/>
          <w:szCs w:val="32"/>
          <w:highlight w:val="none"/>
          <w:lang w:val="en-US" w:eastAsia="zh-CN" w:bidi="ar-SA"/>
        </w:rPr>
        <w:t>4.其他收入：指单位取得的除上述收入以外的各项收入。</w:t>
      </w:r>
      <w:bookmarkEnd w:id="84"/>
    </w:p>
    <w:p w14:paraId="01D1117D">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5.使用非财政拨款结余：指事业单位使用以前年度积累的非财政拨款结余弥补当年收支差额的金额。 </w:t>
      </w:r>
    </w:p>
    <w:p w14:paraId="509FA26C">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6.年初结转和结余：指以前年度尚未完成、结转到本年按有关规定继续使用的资金。 </w:t>
      </w:r>
    </w:p>
    <w:p w14:paraId="4A53CBAD">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7.结余分配：指事业单位按照会计制度规定缴纳的所得税、提取的专用结余以及转入非财政拨款结余的金额等。</w:t>
      </w:r>
    </w:p>
    <w:p w14:paraId="704DFEBD">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8.年末结转和结余：指单位按有关规定结转到下年或以后年度继续使用的资金。</w:t>
      </w:r>
    </w:p>
    <w:p w14:paraId="1EBA05BE">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9.社会保障和就业支出（类）行政事业单位养老支出(款）机关事业单位基本养老保险缴费支出（项):指用于在职职工养老保险支出。</w:t>
      </w:r>
    </w:p>
    <w:p w14:paraId="4878AADE">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10.社会保障和就业支出（类）行政事业单位养老支出(款)行政单位离退休(项)∶指用于离退休人员公用经费、医疗费补助。</w:t>
      </w:r>
    </w:p>
    <w:p w14:paraId="29B1719F">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11.卫生健康支出（类）行政事业单位医疗（款）行政单位医疗(项):指用于行政单位在职职工的医疗保险支出。</w:t>
      </w:r>
    </w:p>
    <w:p w14:paraId="6B964FC4">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12.卫生健康支出（类）行政事业单位医疗（款）事业单位医疗（项):指用于事业单位在职职工的医疗保险支出。</w:t>
      </w:r>
    </w:p>
    <w:p w14:paraId="42E69527">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13.住房保障支出（类）住房改革支出（款）住房公积金（项):指用于行政事业单位职工缴纳住房公积金。</w:t>
      </w:r>
    </w:p>
    <w:p w14:paraId="2D9F9E77">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14.灾害防治及应急管理支出（类）应急管理事务（款)行政运行（项):用于保障机构正常运转的日常支出，包括基本工资、津贴补贴等人员经费以及办公费、印刷费、水电费等日常公用经费。</w:t>
      </w:r>
    </w:p>
    <w:p w14:paraId="6E63D09B">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15.灾害防治及应急管理支出（类）应急管理事务（款)一般行政管理事务（项)︰指保障厅机关为完成特定的行政工作任务或事业发展目标，用于专项业务工作的经费支出。</w:t>
      </w:r>
    </w:p>
    <w:p w14:paraId="62B5D43B">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16.灾害防治及应急管理支出（类）应急管理事务（款)安全监管（项)︰指保障厅机关为完成特定的行政工作任务或事业发展目标，用于安全生产监管方面的专项业务工作经费支出。</w:t>
      </w:r>
    </w:p>
    <w:p w14:paraId="26874AF4">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17.灾害防治及应急管理支出（类）应急管理事务（款)事业运行（项):指用于单位人员工资福利支出、日常运转等工作经费。</w:t>
      </w:r>
    </w:p>
    <w:p w14:paraId="0D5456B5">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18.灾害防治及应急管理支出（类）应急管理事务（款)其他应急管理事项（项):指政府用于自然灾害防治、安全生产监管及应急管理等方面中的其他应急管理方面的支出。</w:t>
      </w:r>
    </w:p>
    <w:p w14:paraId="405D0845">
      <w:pPr>
        <w:pStyle w:val="13"/>
        <w:keepNext w:val="0"/>
        <w:keepLines w:val="0"/>
        <w:widowControl/>
        <w:suppressLineNumbers w:val="0"/>
        <w:shd w:val="clear" w:fill="FFFFFF"/>
        <w:spacing w:before="0" w:beforeAutospacing="0" w:after="150" w:afterAutospacing="0"/>
        <w:ind w:left="0" w:right="0" w:firstLine="0"/>
        <w:jc w:val="both"/>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19.住房保障支出（类）住房改革支出（款）住房公积金（项):指用于行政事业单位职工缴纳住房公积金。</w:t>
      </w:r>
    </w:p>
    <w:p w14:paraId="726FD7ED">
      <w:pPr>
        <w:keepNext w:val="0"/>
        <w:keepLines w:val="0"/>
        <w:widowControl/>
        <w:suppressLineNumbers w:val="0"/>
        <w:shd w:val="clear" w:fill="FFFFFF"/>
        <w:spacing w:before="0" w:beforeAutospacing="0" w:after="150" w:afterAutospacing="0"/>
        <w:ind w:left="0" w:right="0" w:firstLine="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20.基本支出：指为保障机构正常运转、完成日常工作任务而发生的人员支出和公用支出。</w:t>
      </w:r>
    </w:p>
    <w:p w14:paraId="3888BB53">
      <w:pPr>
        <w:keepNext w:val="0"/>
        <w:keepLines w:val="0"/>
        <w:widowControl/>
        <w:suppressLineNumbers w:val="0"/>
        <w:shd w:val="clear" w:fill="FFFFFF"/>
        <w:spacing w:before="0" w:beforeAutospacing="0" w:after="150" w:afterAutospacing="0"/>
        <w:ind w:left="0" w:right="0" w:firstLine="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21.项目支出：指在基本支出之外为完成特定行政任务和事业发展目标所发生的支出。 </w:t>
      </w:r>
    </w:p>
    <w:p w14:paraId="3DE5466D">
      <w:pPr>
        <w:keepNext w:val="0"/>
        <w:keepLines w:val="0"/>
        <w:widowControl/>
        <w:suppressLineNumbers w:val="0"/>
        <w:shd w:val="clear" w:fill="FFFFFF"/>
        <w:spacing w:before="0" w:beforeAutospacing="0" w:after="150" w:afterAutospacing="0"/>
        <w:ind w:left="0" w:right="0" w:firstLine="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22.经营支出：指事业单位在专业业务活动及其辅助活动之外开展非独立核算经营活动发生的支出。</w:t>
      </w:r>
    </w:p>
    <w:p w14:paraId="25FB394F">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23.“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28A509A">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43A33A37">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10C778D2">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62D12724">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72B139D0">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33DB346B">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5A09025F">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1F8C4D3B">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0FC107FA">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7F72D661">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57F9222C">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3892FEC9">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5AA8A528">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01C93EA9">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76AE5B79">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4DEC1F19">
      <w:pPr>
        <w:pStyle w:val="13"/>
        <w:keepNext w:val="0"/>
        <w:keepLines w:val="0"/>
        <w:widowControl/>
        <w:suppressLineNumbers w:val="0"/>
        <w:shd w:val="clear" w:fill="FFFFFF"/>
        <w:spacing w:before="0" w:beforeAutospacing="0" w:after="150" w:afterAutospacing="0" w:line="560" w:lineRule="atLeast"/>
        <w:ind w:left="0" w:right="0" w:firstLine="0"/>
        <w:rPr>
          <w:rFonts w:hint="eastAsia" w:ascii="仿宋_GB2312" w:hAnsi="仿宋_GB2312" w:eastAsia="仿宋_GB2312" w:cs="仿宋_GB2312"/>
          <w:color w:val="auto"/>
          <w:kern w:val="0"/>
          <w:sz w:val="32"/>
          <w:szCs w:val="32"/>
          <w:highlight w:val="none"/>
          <w:lang w:val="en-US" w:eastAsia="zh-CN" w:bidi="ar-SA"/>
        </w:rPr>
      </w:pPr>
    </w:p>
    <w:p w14:paraId="4168B650">
      <w:pPr>
        <w:spacing w:line="600" w:lineRule="exact"/>
        <w:jc w:val="center"/>
        <w:outlineLvl w:val="0"/>
        <w:rPr>
          <w:rStyle w:val="28"/>
          <w:rFonts w:ascii="黑体" w:hAnsi="黑体" w:eastAsia="黑体"/>
          <w:b w:val="0"/>
          <w:highlight w:val="none"/>
        </w:rPr>
      </w:pPr>
      <w:bookmarkStart w:id="85" w:name="_Toc6537"/>
      <w:r>
        <w:rPr>
          <w:rFonts w:hint="eastAsia" w:ascii="黑体" w:hAnsi="黑体" w:eastAsia="黑体"/>
          <w:sz w:val="44"/>
          <w:szCs w:val="44"/>
          <w:highlight w:val="none"/>
        </w:rPr>
        <w:t>第</w:t>
      </w:r>
      <w:r>
        <w:rPr>
          <w:rStyle w:val="28"/>
          <w:rFonts w:hint="eastAsia" w:ascii="黑体" w:hAnsi="黑体" w:eastAsia="黑体"/>
          <w:b w:val="0"/>
          <w:highlight w:val="none"/>
        </w:rPr>
        <w:t>四部分 附件</w:t>
      </w:r>
      <w:bookmarkEnd w:id="82"/>
      <w:bookmarkEnd w:id="85"/>
    </w:p>
    <w:p w14:paraId="3740027A">
      <w:pPr>
        <w:spacing w:line="572" w:lineRule="exact"/>
        <w:jc w:val="left"/>
        <w:outlineLvl w:val="9"/>
        <w:rPr>
          <w:rFonts w:ascii="仿宋_GB2312" w:hAnsi="仿宋_GB2312" w:eastAsia="仿宋_GB2312" w:cs="仿宋_GB2312"/>
          <w:sz w:val="32"/>
          <w:szCs w:val="32"/>
          <w:highlight w:val="none"/>
        </w:rPr>
      </w:pPr>
    </w:p>
    <w:p w14:paraId="75AD9933">
      <w:pPr>
        <w:spacing w:line="600" w:lineRule="exact"/>
        <w:jc w:val="center"/>
        <w:outlineLvl w:val="1"/>
        <w:rPr>
          <w:rFonts w:ascii="黑体" w:hAnsi="黑体" w:eastAsia="黑体"/>
          <w:color w:val="FF0000"/>
          <w:sz w:val="44"/>
          <w:szCs w:val="44"/>
          <w:highlight w:val="none"/>
        </w:rPr>
      </w:pPr>
      <w:bookmarkStart w:id="86" w:name="_Toc32593"/>
      <w:bookmarkStart w:id="87" w:name="_Toc15396618"/>
      <w:r>
        <w:rPr>
          <w:rFonts w:hint="eastAsia"/>
          <w:sz w:val="32"/>
          <w:szCs w:val="32"/>
          <w:highlight w:val="none"/>
        </w:rPr>
        <w:t>部门预算项目支出绩效自评表（2023年度）</w:t>
      </w:r>
      <w:bookmarkEnd w:id="86"/>
    </w:p>
    <w:tbl>
      <w:tblPr>
        <w:tblStyle w:val="15"/>
        <w:tblpPr w:leftFromText="180" w:rightFromText="180" w:vertAnchor="text" w:horzAnchor="page" w:tblpX="687" w:tblpY="628"/>
        <w:tblOverlap w:val="never"/>
        <w:tblW w:w="109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1"/>
        <w:gridCol w:w="1585"/>
        <w:gridCol w:w="1411"/>
        <w:gridCol w:w="1777"/>
        <w:gridCol w:w="516"/>
        <w:gridCol w:w="1016"/>
        <w:gridCol w:w="696"/>
        <w:gridCol w:w="1076"/>
        <w:gridCol w:w="507"/>
        <w:gridCol w:w="456"/>
        <w:gridCol w:w="1254"/>
      </w:tblGrid>
      <w:tr w14:paraId="641A7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C99C154">
            <w:pPr>
              <w:keepNext w:val="0"/>
              <w:keepLines w:val="0"/>
              <w:widowControl/>
              <w:suppressLineNumbers w:val="0"/>
              <w:jc w:val="center"/>
              <w:textAlignment w:val="center"/>
              <w:rPr>
                <w:rFonts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13FF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5C09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9375FE0">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51090022T000005156897-应急管理保障服务</w:t>
            </w:r>
          </w:p>
        </w:tc>
      </w:tr>
      <w:tr w14:paraId="2911E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02458">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D78E0B">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7AC74A7D">
            <w:pPr>
              <w:keepNext w:val="0"/>
              <w:keepLines w:val="0"/>
              <w:widowControl/>
              <w:suppressLineNumbers w:val="0"/>
              <w:jc w:val="left"/>
              <w:textAlignment w:val="center"/>
              <w:rPr>
                <w:rFonts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F0FC2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310B5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4892B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6F4D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3281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698CC1">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2DC36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8949C">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691A4">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CF231C">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全面提升我市突发事件信息接报、会商研判、应对处置、指挥协调能力，减少因突发事件的次生灾害造成生命财产损失。</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8B816E">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我市突发事件信息接报、会商谈判、应对处置、指挥协调能力得到提升，减少了因突发事件灾害造成生命财产损失。</w:t>
            </w:r>
          </w:p>
        </w:tc>
      </w:tr>
      <w:tr w14:paraId="4EFA2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587FD">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C0AB">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B82125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（1）通过购买服务组成值班值守服务团队，24小时365天轮班协助开展值班值守工作。</w:t>
            </w:r>
            <w:r>
              <w:rPr>
                <w:rFonts w:hint="eastAsia" w:ascii="宋体" w:hAnsi="宋体" w:cs="宋体"/>
                <w:i w:val="0"/>
                <w:iCs w:val="0"/>
                <w:color w:val="000000"/>
                <w:kern w:val="0"/>
                <w:sz w:val="16"/>
                <w:szCs w:val="16"/>
                <w:u w:val="none"/>
                <w:lang w:val="en-US" w:eastAsia="zh-CN" w:bidi="ar"/>
              </w:rPr>
              <w:t>熟练</w:t>
            </w:r>
            <w:r>
              <w:rPr>
                <w:rFonts w:ascii="宋体" w:hAnsi="宋体" w:eastAsia="宋体" w:cs="宋体"/>
                <w:i w:val="0"/>
                <w:iCs w:val="0"/>
                <w:color w:val="000000"/>
                <w:kern w:val="0"/>
                <w:sz w:val="16"/>
                <w:szCs w:val="16"/>
                <w:u w:val="none"/>
                <w:lang w:val="en-US" w:eastAsia="zh-CN" w:bidi="ar"/>
              </w:rPr>
              <w:t>应用应急指挥系统接报突发事件信息、根据制度规范做好突发事件信息外理登记；接收运转上级来文来电或电子邮件；电话抽查(应急系统、应急救援队伍、重点乡镇、重点企业)值班备勒情况；视频调度设备的调试；应急物资的日常维保；12350举报热线的登记受理；协助做好值班值守相关资料的(完善、收集、整理、归档)，接收和发布预警预报信息，会商研判，先期处置，相关业务科室开展视频调度等服务工作。（2）按照机关6.5小时工作制规定，结合应急指挥保障工作实际，提供每个工作日不少于52小时驻点服务，全年累计驻点服务时长不得低于13000小时；负责局系统应急指挥保障能力提升常态化培训。常态化开展不同类型、不同场景应急指挥桌面推演；协助开展突发事件信息收集、整理、归档等保障工作；为快速响应、快速出动、快速行动进行常态化应急指挥保障备勤；按照安全可靠的要求，择址搭建突发事件前方指挥部；建立完善信息收集、集中会商、辅助决策、新闻发布等功能配套，满足现代化应急指挥保障要求，实现前方指挥搭建规范化、标准化等工作。</w:t>
            </w:r>
          </w:p>
        </w:tc>
      </w:tr>
      <w:tr w14:paraId="01B4E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12C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40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2D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DE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940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9A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CE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54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09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5E4E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4D68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EF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4B3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E8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397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E6A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7D8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E0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DD6A6">
            <w:pPr>
              <w:rPr>
                <w:rFonts w:hint="eastAsia" w:ascii="黑体" w:hAnsi="黑体" w:eastAsia="黑体" w:cs="黑体"/>
                <w:i/>
                <w:iCs/>
                <w:color w:val="000000"/>
                <w:sz w:val="16"/>
                <w:szCs w:val="16"/>
                <w:u w:val="none"/>
              </w:rPr>
            </w:pPr>
          </w:p>
        </w:tc>
      </w:tr>
      <w:tr w14:paraId="32408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B2E6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89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E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03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B5B84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9C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21D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3C5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1C100">
            <w:pPr>
              <w:rPr>
                <w:rFonts w:hint="eastAsia" w:ascii="黑体" w:hAnsi="黑体" w:eastAsia="黑体" w:cs="黑体"/>
                <w:i/>
                <w:iCs/>
                <w:color w:val="000000"/>
                <w:sz w:val="16"/>
                <w:szCs w:val="16"/>
                <w:u w:val="none"/>
              </w:rPr>
            </w:pPr>
          </w:p>
        </w:tc>
      </w:tr>
      <w:tr w14:paraId="0F51E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A29DE">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572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E8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129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32A1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1F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39A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9BC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1F421">
            <w:pPr>
              <w:rPr>
                <w:rFonts w:hint="eastAsia" w:ascii="黑体" w:hAnsi="黑体" w:eastAsia="黑体" w:cs="黑体"/>
                <w:i/>
                <w:iCs/>
                <w:color w:val="000000"/>
                <w:sz w:val="16"/>
                <w:szCs w:val="16"/>
                <w:u w:val="none"/>
              </w:rPr>
            </w:pPr>
          </w:p>
        </w:tc>
      </w:tr>
      <w:tr w14:paraId="350EF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F2647">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C2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0B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A03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D54F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27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F5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75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2B023">
            <w:pPr>
              <w:rPr>
                <w:rFonts w:hint="eastAsia" w:ascii="黑体" w:hAnsi="黑体" w:eastAsia="黑体" w:cs="黑体"/>
                <w:i/>
                <w:iCs/>
                <w:color w:val="000000"/>
                <w:sz w:val="16"/>
                <w:szCs w:val="16"/>
                <w:u w:val="none"/>
              </w:rPr>
            </w:pPr>
          </w:p>
        </w:tc>
      </w:tr>
      <w:tr w14:paraId="26762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F962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65E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F99C">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9F22">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2ADCBF">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D0CE">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05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43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CDE84">
            <w:pPr>
              <w:rPr>
                <w:rFonts w:hint="eastAsia" w:ascii="黑体" w:hAnsi="黑体" w:eastAsia="黑体" w:cs="黑体"/>
                <w:i/>
                <w:iCs/>
                <w:color w:val="000000"/>
                <w:sz w:val="16"/>
                <w:szCs w:val="16"/>
                <w:u w:val="none"/>
              </w:rPr>
            </w:pPr>
          </w:p>
        </w:tc>
      </w:tr>
      <w:tr w14:paraId="0F3B7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F2A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15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00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23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8F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43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62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2E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7A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74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80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673E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30A2F">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01AA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C87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F8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值班值守服务驻点服务人数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D26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E5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BD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人/天</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09F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F8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21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FC5F">
            <w:pPr>
              <w:jc w:val="center"/>
              <w:rPr>
                <w:rFonts w:hint="eastAsia" w:ascii="微软雅黑" w:hAnsi="微软雅黑" w:eastAsia="微软雅黑" w:cs="微软雅黑"/>
                <w:i/>
                <w:iCs/>
                <w:color w:val="000000"/>
                <w:sz w:val="16"/>
                <w:szCs w:val="16"/>
                <w:u w:val="none"/>
              </w:rPr>
            </w:pPr>
          </w:p>
        </w:tc>
      </w:tr>
      <w:tr w14:paraId="2CE52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EBC4B">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AFF1">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B2CE3">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5F4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指挥保障服务工作日驻点服务时长</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415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69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65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小时/天</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B37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75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71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A1F0">
            <w:pPr>
              <w:jc w:val="center"/>
              <w:rPr>
                <w:rFonts w:hint="eastAsia" w:ascii="微软雅黑" w:hAnsi="微软雅黑" w:eastAsia="微软雅黑" w:cs="微软雅黑"/>
                <w:i/>
                <w:iCs/>
                <w:color w:val="000000"/>
                <w:sz w:val="16"/>
                <w:szCs w:val="16"/>
                <w:u w:val="none"/>
              </w:rPr>
            </w:pPr>
          </w:p>
        </w:tc>
      </w:tr>
      <w:tr w14:paraId="113E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EF49C">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8BCB4">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04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8C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满足值班值守、指挥保障服务合同要求</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48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D2D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ED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46A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59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60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1691">
            <w:pPr>
              <w:jc w:val="center"/>
              <w:rPr>
                <w:rFonts w:hint="eastAsia" w:ascii="微软雅黑" w:hAnsi="微软雅黑" w:eastAsia="微软雅黑" w:cs="微软雅黑"/>
                <w:i/>
                <w:iCs/>
                <w:color w:val="000000"/>
                <w:sz w:val="16"/>
                <w:szCs w:val="16"/>
                <w:u w:val="none"/>
              </w:rPr>
            </w:pPr>
          </w:p>
        </w:tc>
      </w:tr>
      <w:tr w14:paraId="3AB1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31AFD">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F93A">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D6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23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完成时间</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49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D4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37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037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EE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62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08F61">
            <w:pPr>
              <w:jc w:val="center"/>
              <w:rPr>
                <w:rFonts w:hint="eastAsia" w:ascii="微软雅黑" w:hAnsi="微软雅黑" w:eastAsia="微软雅黑" w:cs="微软雅黑"/>
                <w:i/>
                <w:iCs/>
                <w:color w:val="000000"/>
                <w:sz w:val="16"/>
                <w:szCs w:val="16"/>
                <w:u w:val="none"/>
              </w:rPr>
            </w:pPr>
          </w:p>
        </w:tc>
      </w:tr>
      <w:tr w14:paraId="18FDC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28244">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890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42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4C0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快速响应、快速应对处置</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5B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83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05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5F3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41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AC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076B">
            <w:pPr>
              <w:jc w:val="center"/>
              <w:rPr>
                <w:rFonts w:hint="eastAsia" w:ascii="微软雅黑" w:hAnsi="微软雅黑" w:eastAsia="微软雅黑" w:cs="微软雅黑"/>
                <w:i/>
                <w:iCs/>
                <w:color w:val="000000"/>
                <w:sz w:val="16"/>
                <w:szCs w:val="16"/>
                <w:u w:val="none"/>
              </w:rPr>
            </w:pPr>
          </w:p>
        </w:tc>
      </w:tr>
      <w:tr w14:paraId="518F7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139F8">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04B11">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0F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3DF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79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50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C5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D8C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27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D4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9CA7">
            <w:pPr>
              <w:jc w:val="center"/>
              <w:rPr>
                <w:rFonts w:hint="eastAsia" w:ascii="微软雅黑" w:hAnsi="微软雅黑" w:eastAsia="微软雅黑" w:cs="微软雅黑"/>
                <w:i/>
                <w:iCs/>
                <w:color w:val="000000"/>
                <w:sz w:val="16"/>
                <w:szCs w:val="16"/>
                <w:u w:val="none"/>
              </w:rPr>
            </w:pPr>
          </w:p>
        </w:tc>
      </w:tr>
      <w:tr w14:paraId="7CAF8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7EDA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0E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5F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7E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内部考核满意度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EE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05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856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DD0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AD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73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43CA">
            <w:pPr>
              <w:jc w:val="center"/>
              <w:rPr>
                <w:rFonts w:hint="eastAsia" w:ascii="微软雅黑" w:hAnsi="微软雅黑" w:eastAsia="微软雅黑" w:cs="微软雅黑"/>
                <w:i/>
                <w:iCs/>
                <w:color w:val="000000"/>
                <w:sz w:val="16"/>
                <w:szCs w:val="16"/>
                <w:u w:val="none"/>
              </w:rPr>
            </w:pPr>
          </w:p>
        </w:tc>
      </w:tr>
      <w:tr w14:paraId="0F9CF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5C5C5">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4B6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751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24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按预算数内严控经济支出</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01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C0C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1200000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31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152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32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53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E510">
            <w:pPr>
              <w:jc w:val="center"/>
              <w:rPr>
                <w:rFonts w:hint="eastAsia" w:ascii="微软雅黑" w:hAnsi="微软雅黑" w:eastAsia="微软雅黑" w:cs="微软雅黑"/>
                <w:i/>
                <w:iCs/>
                <w:color w:val="000000"/>
                <w:sz w:val="16"/>
                <w:szCs w:val="16"/>
                <w:u w:val="none"/>
              </w:rPr>
            </w:pPr>
          </w:p>
        </w:tc>
      </w:tr>
      <w:tr w14:paraId="465AF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9C7A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00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45CD">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54DA">
            <w:pPr>
              <w:rPr>
                <w:rFonts w:hint="eastAsia" w:ascii="宋体" w:hAnsi="宋体" w:eastAsia="宋体" w:cs="宋体"/>
                <w:i w:val="0"/>
                <w:iCs w:val="0"/>
                <w:color w:val="000000"/>
                <w:sz w:val="16"/>
                <w:szCs w:val="16"/>
                <w:u w:val="none"/>
              </w:rPr>
            </w:pPr>
          </w:p>
        </w:tc>
      </w:tr>
      <w:tr w14:paraId="6A58E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43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F3235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总分100分，项目实施后，配齐配强了人员力量，保障了应急值守、会商研判、信息接报、业务系统平稳有序运行，为应急处置提供精准的信息支撑，切实保障人民群众生命财产安全。日常对设备装备开展维保维护，紧急情况下开展现场指挥部搭建、应急供电、应急通讯和后勤服务等专业化保障服务，为指挥部工作正常运转提供安全、稳定、可靠的环境。</w:t>
            </w:r>
          </w:p>
        </w:tc>
      </w:tr>
      <w:tr w14:paraId="2CF2F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C9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AD0753">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1.绩效目标设定个性化有待细化、量化。</w:t>
            </w:r>
          </w:p>
          <w:p w14:paraId="228DF59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2.项目发展需长期性投入，专业技术人才相对匮乏。</w:t>
            </w:r>
          </w:p>
        </w:tc>
      </w:tr>
      <w:tr w14:paraId="0F300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B4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56471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加强应急管理保障服务项目资金投入，技术人才引进。财政部门分配专项资金时，充分考虑应急管理事业发展特点，加强项目资金和人员经费投入，切实解决应急管理保障服务能力不足等问题。</w:t>
            </w:r>
          </w:p>
        </w:tc>
      </w:tr>
      <w:tr w14:paraId="6812E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7A1C5C">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项目负责人：杨祖国</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98BF44">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37AC0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66013DA6">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407D706B">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7653C939">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1C0B6FBC">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78EDA1DA">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325C6FB8">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5B901B52">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724506DB">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563E5CC0">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2BF13BC4">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05E8BBB3">
            <w:pPr>
              <w:rPr>
                <w:rFonts w:hint="eastAsia" w:ascii="宋体" w:hAnsi="宋体" w:eastAsia="宋体" w:cs="宋体"/>
                <w:i w:val="0"/>
                <w:iCs w:val="0"/>
                <w:color w:val="000000"/>
                <w:sz w:val="16"/>
                <w:szCs w:val="16"/>
                <w:u w:val="none"/>
              </w:rPr>
            </w:pPr>
          </w:p>
        </w:tc>
      </w:tr>
      <w:tr w14:paraId="568E5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D93C0D">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7A5A1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AA13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E0402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51090022T000005157010-网络通讯运行维护费及应急管理能力建设资金</w:t>
            </w:r>
          </w:p>
        </w:tc>
      </w:tr>
      <w:tr w14:paraId="5F678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03C2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C7F5C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467AF29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1DC6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4C551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0C91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0E89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898E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A5F9B3">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7B9E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213C3">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7A131">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3C174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提高应急管理现代化水平，实现科学高效应急管理，有效实施安全监管和突发事件应对处置</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914C26">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通信设备和重大危机源监测预警电路等通信情况运行稳定。</w:t>
            </w:r>
          </w:p>
        </w:tc>
      </w:tr>
      <w:tr w14:paraId="00F0D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5A4A4">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F6C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E185B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结合项目特点，参照政府采购规定程序，该项目分多个不同供应商，不属政府采购目录内或限额以上项目，单位自主采购。</w:t>
            </w:r>
          </w:p>
        </w:tc>
      </w:tr>
      <w:tr w14:paraId="359A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855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36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85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8B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551AE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73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032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2C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AB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1FCE2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98C9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5E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95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4F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5BB99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91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73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85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7B271">
            <w:pPr>
              <w:rPr>
                <w:rFonts w:hint="eastAsia" w:ascii="黑体" w:hAnsi="黑体" w:eastAsia="黑体" w:cs="黑体"/>
                <w:i/>
                <w:iCs/>
                <w:color w:val="000000"/>
                <w:sz w:val="16"/>
                <w:szCs w:val="16"/>
                <w:u w:val="none"/>
              </w:rPr>
            </w:pPr>
          </w:p>
        </w:tc>
      </w:tr>
      <w:tr w14:paraId="04A6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7CE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14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20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5A6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689D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C4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D8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BAA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A51ED">
            <w:pPr>
              <w:rPr>
                <w:rFonts w:hint="eastAsia" w:ascii="黑体" w:hAnsi="黑体" w:eastAsia="黑体" w:cs="黑体"/>
                <w:i/>
                <w:iCs/>
                <w:color w:val="000000"/>
                <w:sz w:val="16"/>
                <w:szCs w:val="16"/>
                <w:u w:val="none"/>
              </w:rPr>
            </w:pPr>
          </w:p>
        </w:tc>
      </w:tr>
      <w:tr w14:paraId="3EAAB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95F2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66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C11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2A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91F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FB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DC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B2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0E8CE">
            <w:pPr>
              <w:rPr>
                <w:rFonts w:hint="eastAsia" w:ascii="黑体" w:hAnsi="黑体" w:eastAsia="黑体" w:cs="黑体"/>
                <w:i/>
                <w:iCs/>
                <w:color w:val="000000"/>
                <w:sz w:val="16"/>
                <w:szCs w:val="16"/>
                <w:u w:val="none"/>
              </w:rPr>
            </w:pPr>
          </w:p>
        </w:tc>
      </w:tr>
      <w:tr w14:paraId="464A6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D9A3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FE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B2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ED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04F7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4B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F7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CC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C8495">
            <w:pPr>
              <w:rPr>
                <w:rFonts w:hint="eastAsia" w:ascii="黑体" w:hAnsi="黑体" w:eastAsia="黑体" w:cs="黑体"/>
                <w:i/>
                <w:iCs/>
                <w:color w:val="000000"/>
                <w:sz w:val="16"/>
                <w:szCs w:val="16"/>
                <w:u w:val="none"/>
              </w:rPr>
            </w:pPr>
          </w:p>
        </w:tc>
      </w:tr>
      <w:tr w14:paraId="32C72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D2EBE">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ED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AA70">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33D7">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F4AC79">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9F07">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F5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A5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10875">
            <w:pPr>
              <w:rPr>
                <w:rFonts w:hint="eastAsia" w:ascii="黑体" w:hAnsi="黑体" w:eastAsia="黑体" w:cs="黑体"/>
                <w:i/>
                <w:iCs/>
                <w:color w:val="000000"/>
                <w:sz w:val="16"/>
                <w:szCs w:val="16"/>
                <w:u w:val="none"/>
              </w:rPr>
            </w:pPr>
          </w:p>
        </w:tc>
      </w:tr>
      <w:tr w14:paraId="575FD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A60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21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80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33E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1AE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27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CA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9E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D7F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4A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95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715A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30CDF">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AC38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8FC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78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应急网络运维条数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A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88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76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7DB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74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A3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C553">
            <w:pPr>
              <w:jc w:val="center"/>
              <w:rPr>
                <w:rFonts w:hint="eastAsia" w:ascii="微软雅黑" w:hAnsi="微软雅黑" w:eastAsia="微软雅黑" w:cs="微软雅黑"/>
                <w:i/>
                <w:iCs/>
                <w:color w:val="000000"/>
                <w:sz w:val="16"/>
                <w:szCs w:val="16"/>
                <w:u w:val="none"/>
              </w:rPr>
            </w:pPr>
          </w:p>
        </w:tc>
      </w:tr>
      <w:tr w14:paraId="1D54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EC16C">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3BFD8">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C297C">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F5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卫星电话</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09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A0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3B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46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20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8E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8665">
            <w:pPr>
              <w:jc w:val="center"/>
              <w:rPr>
                <w:rFonts w:hint="eastAsia" w:ascii="微软雅黑" w:hAnsi="微软雅黑" w:eastAsia="微软雅黑" w:cs="微软雅黑"/>
                <w:i/>
                <w:iCs/>
                <w:color w:val="000000"/>
                <w:sz w:val="16"/>
                <w:szCs w:val="16"/>
                <w:u w:val="none"/>
              </w:rPr>
            </w:pPr>
          </w:p>
        </w:tc>
      </w:tr>
      <w:tr w14:paraId="5B64E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B4E5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9077D">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A7E73">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9A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服务单兵数量</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18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72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6B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6C0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EE0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66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D29C">
            <w:pPr>
              <w:jc w:val="center"/>
              <w:rPr>
                <w:rFonts w:hint="eastAsia" w:ascii="微软雅黑" w:hAnsi="微软雅黑" w:eastAsia="微软雅黑" w:cs="微软雅黑"/>
                <w:i/>
                <w:iCs/>
                <w:color w:val="000000"/>
                <w:sz w:val="16"/>
                <w:szCs w:val="16"/>
                <w:u w:val="none"/>
              </w:rPr>
            </w:pPr>
          </w:p>
        </w:tc>
      </w:tr>
      <w:tr w14:paraId="689B1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959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1AF94">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C369D">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C0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对讲机</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77B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F2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3D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941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DB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B12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9422">
            <w:pPr>
              <w:jc w:val="center"/>
              <w:rPr>
                <w:rFonts w:hint="eastAsia" w:ascii="微软雅黑" w:hAnsi="微软雅黑" w:eastAsia="微软雅黑" w:cs="微软雅黑"/>
                <w:i/>
                <w:iCs/>
                <w:color w:val="000000"/>
                <w:sz w:val="16"/>
                <w:szCs w:val="16"/>
                <w:u w:val="none"/>
              </w:rPr>
            </w:pPr>
          </w:p>
        </w:tc>
      </w:tr>
      <w:tr w14:paraId="4444E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D5B9C">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51D4A">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E3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59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服务要求：全局各类信息化系统稳定、高效运行；提供通畅、安全的网络支持</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80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45E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0C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3C8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5D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6D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5365">
            <w:pPr>
              <w:jc w:val="center"/>
              <w:rPr>
                <w:rFonts w:hint="eastAsia" w:ascii="微软雅黑" w:hAnsi="微软雅黑" w:eastAsia="微软雅黑" w:cs="微软雅黑"/>
                <w:i/>
                <w:iCs/>
                <w:color w:val="000000"/>
                <w:sz w:val="16"/>
                <w:szCs w:val="16"/>
                <w:u w:val="none"/>
              </w:rPr>
            </w:pPr>
          </w:p>
        </w:tc>
      </w:tr>
      <w:tr w14:paraId="2AEBB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0B2FA">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CC8DB">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52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A1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服务时间</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4F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ED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20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B21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98C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E4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5BB2">
            <w:pPr>
              <w:jc w:val="center"/>
              <w:rPr>
                <w:rFonts w:hint="eastAsia" w:ascii="微软雅黑" w:hAnsi="微软雅黑" w:eastAsia="微软雅黑" w:cs="微软雅黑"/>
                <w:i/>
                <w:iCs/>
                <w:color w:val="000000"/>
                <w:sz w:val="16"/>
                <w:szCs w:val="16"/>
                <w:u w:val="none"/>
              </w:rPr>
            </w:pPr>
          </w:p>
        </w:tc>
      </w:tr>
      <w:tr w14:paraId="0068E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4C919">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C17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54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E8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对我市应急管理工作的影响：遏制重特大安全生产类事故发生，减少生命财产损失</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B0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41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5A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005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EA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8C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FD6C">
            <w:pPr>
              <w:jc w:val="center"/>
              <w:rPr>
                <w:rFonts w:hint="eastAsia" w:ascii="微软雅黑" w:hAnsi="微软雅黑" w:eastAsia="微软雅黑" w:cs="微软雅黑"/>
                <w:i/>
                <w:iCs/>
                <w:color w:val="000000"/>
                <w:sz w:val="16"/>
                <w:szCs w:val="16"/>
                <w:u w:val="none"/>
              </w:rPr>
            </w:pPr>
          </w:p>
        </w:tc>
      </w:tr>
      <w:tr w14:paraId="760C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81F1F">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F4357">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8C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B4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7C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71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2E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836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61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87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A64D">
            <w:pPr>
              <w:jc w:val="center"/>
              <w:rPr>
                <w:rFonts w:hint="eastAsia" w:ascii="微软雅黑" w:hAnsi="微软雅黑" w:eastAsia="微软雅黑" w:cs="微软雅黑"/>
                <w:i/>
                <w:iCs/>
                <w:color w:val="000000"/>
                <w:sz w:val="16"/>
                <w:szCs w:val="16"/>
                <w:u w:val="none"/>
              </w:rPr>
            </w:pPr>
          </w:p>
        </w:tc>
      </w:tr>
      <w:tr w14:paraId="3AD12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B241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C9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34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56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单位职工对保障服务的满意度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22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27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72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1B0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C1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4B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0342">
            <w:pPr>
              <w:jc w:val="center"/>
              <w:rPr>
                <w:rFonts w:hint="eastAsia" w:ascii="微软雅黑" w:hAnsi="微软雅黑" w:eastAsia="微软雅黑" w:cs="微软雅黑"/>
                <w:i/>
                <w:iCs/>
                <w:color w:val="000000"/>
                <w:sz w:val="16"/>
                <w:szCs w:val="16"/>
                <w:u w:val="none"/>
              </w:rPr>
            </w:pPr>
          </w:p>
        </w:tc>
      </w:tr>
      <w:tr w14:paraId="5E8FB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7D68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72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6D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0DE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按预算数严控经济成本</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629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36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495600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CF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7A7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176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CE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6991">
            <w:pPr>
              <w:jc w:val="center"/>
              <w:rPr>
                <w:rFonts w:hint="eastAsia" w:ascii="微软雅黑" w:hAnsi="微软雅黑" w:eastAsia="微软雅黑" w:cs="微软雅黑"/>
                <w:i/>
                <w:iCs/>
                <w:color w:val="000000"/>
                <w:sz w:val="16"/>
                <w:szCs w:val="16"/>
                <w:u w:val="none"/>
              </w:rPr>
            </w:pPr>
          </w:p>
        </w:tc>
      </w:tr>
      <w:tr w14:paraId="69A4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4286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2AE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E8FB">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A837">
            <w:pPr>
              <w:rPr>
                <w:rFonts w:hint="eastAsia" w:ascii="宋体" w:hAnsi="宋体" w:eastAsia="宋体" w:cs="宋体"/>
                <w:i w:val="0"/>
                <w:iCs w:val="0"/>
                <w:color w:val="000000"/>
                <w:sz w:val="16"/>
                <w:szCs w:val="16"/>
                <w:u w:val="none"/>
              </w:rPr>
            </w:pPr>
          </w:p>
        </w:tc>
      </w:tr>
      <w:tr w14:paraId="790B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06E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52E5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有效支撑了我局各项业务，提高了重大危险源监测预警和突发事件应急处置能力，</w:t>
            </w:r>
          </w:p>
        </w:tc>
      </w:tr>
      <w:tr w14:paraId="5B91C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4D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1490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专业人才缺乏和工作人员专业技术水平不足。</w:t>
            </w:r>
          </w:p>
        </w:tc>
      </w:tr>
      <w:tr w14:paraId="0CD44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89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D1BC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加强人员培训，制定相应操作手册。</w:t>
            </w:r>
          </w:p>
        </w:tc>
      </w:tr>
      <w:tr w14:paraId="0CC33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BC91CF">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项目负责人：胡慧敏</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1D48BC">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6ECBD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6A356552">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391C62D3">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19F0444B">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3B5B0E30">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7DB7794A">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20280F7E">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198EEAB8">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5D2E4C62">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2493ABDF">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45139B3B">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5EAFB64A">
            <w:pPr>
              <w:rPr>
                <w:rFonts w:hint="eastAsia" w:ascii="宋体" w:hAnsi="宋体" w:eastAsia="宋体" w:cs="宋体"/>
                <w:i w:val="0"/>
                <w:iCs w:val="0"/>
                <w:color w:val="000000"/>
                <w:sz w:val="16"/>
                <w:szCs w:val="16"/>
                <w:u w:val="none"/>
              </w:rPr>
            </w:pPr>
          </w:p>
        </w:tc>
      </w:tr>
      <w:tr w14:paraId="5BD3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1D979D">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154DA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8D44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FA188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51090022T000005157324-安全生产考试考务服务费</w:t>
            </w:r>
          </w:p>
        </w:tc>
      </w:tr>
      <w:tr w14:paraId="2864E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5EBA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4FA6E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23A997A4">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C32F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55D18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8025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043C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FD923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4AF11C">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10C45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6887D">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9E51E">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73C15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了进一步规范我市特种作业人员安全技术考试工作经费支出管理，提高财政资金使用绩效，保障考试工作正常开展，提高考试质量，强化安全生产教育培训工作重要性的认识，督促企业履行安全培训主体责任和义务，严格落实企业负责人、安全管理人员、特种作业人员，即“三项岗位”人员持证上岗和从业人员先培训后上岗制度，进一步推动企业全面落实安全生产主体责任，不断提高企业安全生产管理水平。</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EB91AF">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2023年共支付理论考试30987人数，实操23542人，支付合计1343304元，用于全市考试点设备购置、考务人员费、业务培训、日常维护等考试相关支出。</w:t>
            </w:r>
          </w:p>
        </w:tc>
      </w:tr>
      <w:tr w14:paraId="3D36E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5D8C7">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C8C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B1629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2023年度，从行政事业性收费中投入208万元，采用第三方服务的方式预计对全市特种作业人员从业人员履行安全生产计算机考试服务，达到强化安全生产教育培训工作重要性的认识，督促企业履行安全培训主体责任和义务，严格落实企业负责人、安全管理人员、特种作业人员，即“三项岗位”人员持证上岗和从业人员先培训后上岗制度，进一步推动企业全面落实安全生产主体责任，不断提高企业安全生产管理水平。</w:t>
            </w:r>
          </w:p>
        </w:tc>
      </w:tr>
      <w:tr w14:paraId="2202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8D9B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25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311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ED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4A3B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34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D7A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80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E9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6E47D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6078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A7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0B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320.00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753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220.00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1EDEB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135.34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FAF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61.52%</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701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27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FA631">
            <w:pPr>
              <w:keepNext w:val="0"/>
              <w:keepLines w:val="0"/>
              <w:widowControl/>
              <w:suppressLineNumbers w:val="0"/>
              <w:jc w:val="left"/>
              <w:textAlignment w:val="center"/>
              <w:rPr>
                <w:rFonts w:hint="eastAsia" w:ascii="黑体" w:hAnsi="黑体" w:eastAsia="黑体" w:cs="黑体"/>
                <w:i/>
                <w:iCs/>
                <w:color w:val="000000"/>
                <w:sz w:val="16"/>
                <w:szCs w:val="16"/>
                <w:u w:val="none"/>
              </w:rPr>
            </w:pPr>
            <w:r>
              <w:rPr>
                <w:rFonts w:hint="eastAsia" w:ascii="黑体" w:hAnsi="黑体" w:eastAsia="黑体" w:cs="黑体"/>
                <w:i/>
                <w:iCs/>
                <w:color w:val="000000"/>
                <w:kern w:val="0"/>
                <w:sz w:val="16"/>
                <w:szCs w:val="16"/>
                <w:u w:val="none"/>
                <w:lang w:val="en-US" w:eastAsia="zh-CN" w:bidi="ar"/>
              </w:rPr>
              <w:t>因为疫情放开之后，人员外出务工较多，参加特种考试的人员较少</w:t>
            </w:r>
          </w:p>
        </w:tc>
      </w:tr>
      <w:tr w14:paraId="570E5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336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C92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5A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320.00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CA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220.00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600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135.34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40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61.52%</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14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74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79CE7">
            <w:pPr>
              <w:rPr>
                <w:rFonts w:hint="eastAsia" w:ascii="黑体" w:hAnsi="黑体" w:eastAsia="黑体" w:cs="黑体"/>
                <w:i/>
                <w:iCs/>
                <w:color w:val="000000"/>
                <w:sz w:val="16"/>
                <w:szCs w:val="16"/>
                <w:u w:val="none"/>
              </w:rPr>
            </w:pPr>
          </w:p>
        </w:tc>
      </w:tr>
      <w:tr w14:paraId="1672C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51CD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B3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65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96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289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1C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8F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B0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A4B63">
            <w:pPr>
              <w:rPr>
                <w:rFonts w:hint="eastAsia" w:ascii="黑体" w:hAnsi="黑体" w:eastAsia="黑体" w:cs="黑体"/>
                <w:i/>
                <w:iCs/>
                <w:color w:val="000000"/>
                <w:sz w:val="16"/>
                <w:szCs w:val="16"/>
                <w:u w:val="none"/>
              </w:rPr>
            </w:pPr>
          </w:p>
        </w:tc>
      </w:tr>
      <w:tr w14:paraId="686A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425D3">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D98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80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25D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09FE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341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EC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5A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1234D">
            <w:pPr>
              <w:rPr>
                <w:rFonts w:hint="eastAsia" w:ascii="黑体" w:hAnsi="黑体" w:eastAsia="黑体" w:cs="黑体"/>
                <w:i/>
                <w:iCs/>
                <w:color w:val="000000"/>
                <w:sz w:val="16"/>
                <w:szCs w:val="16"/>
                <w:u w:val="none"/>
              </w:rPr>
            </w:pPr>
          </w:p>
        </w:tc>
      </w:tr>
      <w:tr w14:paraId="566D9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2FA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5D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E788">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22E5">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3F873D">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DF00">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32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B52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859A9">
            <w:pPr>
              <w:rPr>
                <w:rFonts w:hint="eastAsia" w:ascii="黑体" w:hAnsi="黑体" w:eastAsia="黑体" w:cs="黑体"/>
                <w:i/>
                <w:iCs/>
                <w:color w:val="000000"/>
                <w:sz w:val="16"/>
                <w:szCs w:val="16"/>
                <w:u w:val="none"/>
              </w:rPr>
            </w:pPr>
          </w:p>
        </w:tc>
      </w:tr>
      <w:tr w14:paraId="3ADB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6F7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D0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CA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AB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FF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1D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83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E55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F0B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A8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EB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5EA48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A2EF5">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C265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93A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90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考试人数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39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F6C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40000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7F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人次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1EC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30987人</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6F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AD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EEC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因为疫情放开之后，人员外出务工较多，参加特种考试的人员较少</w:t>
            </w:r>
          </w:p>
        </w:tc>
      </w:tr>
      <w:tr w14:paraId="496C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5181E">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BD286">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5DED0">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6D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服务费用标准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9E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3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70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0C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元/人·次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193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53.5</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DBF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12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CC7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根据发改最新收费进行补贴</w:t>
            </w:r>
          </w:p>
        </w:tc>
      </w:tr>
      <w:tr w14:paraId="64AD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0FF0D">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83BD7">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1D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71E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服务质量标准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4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FE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D6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2A4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67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4F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5DCD">
            <w:pPr>
              <w:jc w:val="center"/>
              <w:rPr>
                <w:rFonts w:hint="eastAsia" w:ascii="微软雅黑" w:hAnsi="微软雅黑" w:eastAsia="微软雅黑" w:cs="微软雅黑"/>
                <w:i/>
                <w:iCs/>
                <w:color w:val="000000"/>
                <w:sz w:val="16"/>
                <w:szCs w:val="16"/>
                <w:u w:val="none"/>
              </w:rPr>
            </w:pPr>
          </w:p>
        </w:tc>
      </w:tr>
      <w:tr w14:paraId="69E84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5CA6">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45192">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5D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0BC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DE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39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CE7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AF7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DC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50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8B3F">
            <w:pPr>
              <w:jc w:val="center"/>
              <w:rPr>
                <w:rFonts w:hint="eastAsia" w:ascii="微软雅黑" w:hAnsi="微软雅黑" w:eastAsia="微软雅黑" w:cs="微软雅黑"/>
                <w:i/>
                <w:iCs/>
                <w:color w:val="000000"/>
                <w:sz w:val="16"/>
                <w:szCs w:val="16"/>
                <w:u w:val="none"/>
              </w:rPr>
            </w:pPr>
          </w:p>
        </w:tc>
      </w:tr>
      <w:tr w14:paraId="3D7FE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9FE6B">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498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71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59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对全市安全生产工作的影响</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FE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5F5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63F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EFC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2C6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B36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DA7D">
            <w:pPr>
              <w:jc w:val="center"/>
              <w:rPr>
                <w:rFonts w:hint="eastAsia" w:ascii="微软雅黑" w:hAnsi="微软雅黑" w:eastAsia="微软雅黑" w:cs="微软雅黑"/>
                <w:i/>
                <w:iCs/>
                <w:color w:val="000000"/>
                <w:sz w:val="16"/>
                <w:szCs w:val="16"/>
                <w:u w:val="none"/>
              </w:rPr>
            </w:pPr>
          </w:p>
        </w:tc>
      </w:tr>
      <w:tr w14:paraId="2F2B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1AE58">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18A9F">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E0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5C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制度可持续影响</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C9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10B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A183">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E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DE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266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ABDF">
            <w:pPr>
              <w:jc w:val="center"/>
              <w:rPr>
                <w:rFonts w:hint="eastAsia" w:ascii="微软雅黑" w:hAnsi="微软雅黑" w:eastAsia="微软雅黑" w:cs="微软雅黑"/>
                <w:i/>
                <w:iCs/>
                <w:color w:val="000000"/>
                <w:sz w:val="16"/>
                <w:szCs w:val="16"/>
                <w:u w:val="none"/>
              </w:rPr>
            </w:pPr>
          </w:p>
        </w:tc>
      </w:tr>
      <w:tr w14:paraId="62075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0A09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FD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C9E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2B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参加考试人员满意度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65B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84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74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886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42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AB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276A">
            <w:pPr>
              <w:jc w:val="center"/>
              <w:rPr>
                <w:rFonts w:hint="eastAsia" w:ascii="微软雅黑" w:hAnsi="微软雅黑" w:eastAsia="微软雅黑" w:cs="微软雅黑"/>
                <w:i/>
                <w:iCs/>
                <w:color w:val="000000"/>
                <w:sz w:val="16"/>
                <w:szCs w:val="16"/>
                <w:u w:val="none"/>
              </w:rPr>
            </w:pPr>
          </w:p>
        </w:tc>
      </w:tr>
      <w:tr w14:paraId="3680C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6696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0E9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5D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D0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预算控制内支付</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FA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B6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320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263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05D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135.34</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6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28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EAC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因为疫情放开之后，人员外出务工较多，参加特种考试的人员较少</w:t>
            </w:r>
          </w:p>
        </w:tc>
      </w:tr>
      <w:tr w14:paraId="135C1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25E7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25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FB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E3C8">
            <w:pPr>
              <w:rPr>
                <w:rFonts w:hint="eastAsia" w:ascii="宋体" w:hAnsi="宋体" w:eastAsia="宋体" w:cs="宋体"/>
                <w:i w:val="0"/>
                <w:iCs w:val="0"/>
                <w:color w:val="000000"/>
                <w:sz w:val="16"/>
                <w:szCs w:val="16"/>
                <w:u w:val="none"/>
              </w:rPr>
            </w:pPr>
          </w:p>
        </w:tc>
      </w:tr>
      <w:tr w14:paraId="665E1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4C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A765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 xml:space="preserve"> 项 目自评总分为86分，能有效解决我市考试分中心考试设施设备基础薄弱的突出问题，进一步推进全市安全生产考试点建设规范化、标准化和制度化，切实提升考试质量。</w:t>
            </w:r>
          </w:p>
        </w:tc>
      </w:tr>
      <w:tr w14:paraId="2FF9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721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5AD87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本项目预算数据不够准确</w:t>
            </w:r>
          </w:p>
        </w:tc>
      </w:tr>
      <w:tr w14:paraId="77C09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CA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18D35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进一步严格规范考试人数测算工作，做好市场调研调查等工作</w:t>
            </w:r>
          </w:p>
        </w:tc>
      </w:tr>
      <w:tr w14:paraId="0EE4A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CFF70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项目负责人：杨祖国</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E9C1CD">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2C4D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23F343A1">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7007CDBF">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4646EA18">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51150C9F">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38CED4B2">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78051AD0">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77053396">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0233E489">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66CD7EB1">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25EC782C">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50191FB7">
            <w:pPr>
              <w:rPr>
                <w:rFonts w:hint="eastAsia" w:ascii="宋体" w:hAnsi="宋体" w:eastAsia="宋体" w:cs="宋体"/>
                <w:i w:val="0"/>
                <w:iCs w:val="0"/>
                <w:color w:val="000000"/>
                <w:sz w:val="16"/>
                <w:szCs w:val="16"/>
                <w:u w:val="none"/>
              </w:rPr>
            </w:pPr>
          </w:p>
        </w:tc>
      </w:tr>
      <w:tr w14:paraId="46C0B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A85CE5">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26284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88AB0">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E6AAFC">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51090022T000005159543-应急管理能力保障经费</w:t>
            </w:r>
          </w:p>
        </w:tc>
      </w:tr>
      <w:tr w14:paraId="4B351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3EA0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ECF9C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5C1101BE">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C5B3F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27EA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1298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22A5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0CB8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089378">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31065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4F6CD">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8A451">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06366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为执法队伍建设、救援处置、普法宣传、行业监管、安全文化、依法行政、等应急管理事务提供综合保障</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1DBAD3">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完成了为执法队伍建设、救援处置、普法宣传、行业监管、安全文化、依法行政、等应急管理事务综合保障服务</w:t>
            </w:r>
          </w:p>
        </w:tc>
      </w:tr>
      <w:tr w14:paraId="13FA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FB83">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513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BCA8C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遂宁市应急管理局为应急管理能力保障经费的主管部门，严格按照预算管理制度对本项目执行事前审批、事中监督、事后评价过程。</w:t>
            </w:r>
          </w:p>
        </w:tc>
      </w:tr>
      <w:tr w14:paraId="308B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41E7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E2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CE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4C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C3B9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63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B2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50C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58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63E60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2BB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AE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D6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3A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D7CB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8C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19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3E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69C20">
            <w:pPr>
              <w:rPr>
                <w:rFonts w:hint="eastAsia" w:ascii="黑体" w:hAnsi="黑体" w:eastAsia="黑体" w:cs="黑体"/>
                <w:i/>
                <w:iCs/>
                <w:color w:val="000000"/>
                <w:sz w:val="16"/>
                <w:szCs w:val="16"/>
                <w:u w:val="none"/>
              </w:rPr>
            </w:pPr>
          </w:p>
        </w:tc>
      </w:tr>
      <w:tr w14:paraId="134A7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A2FF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B0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99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B9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6AB8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BD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4C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B7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97FF7">
            <w:pPr>
              <w:rPr>
                <w:rFonts w:hint="eastAsia" w:ascii="黑体" w:hAnsi="黑体" w:eastAsia="黑体" w:cs="黑体"/>
                <w:i/>
                <w:iCs/>
                <w:color w:val="000000"/>
                <w:sz w:val="16"/>
                <w:szCs w:val="16"/>
                <w:u w:val="none"/>
              </w:rPr>
            </w:pPr>
          </w:p>
        </w:tc>
      </w:tr>
      <w:tr w14:paraId="29B99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39F7D">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B4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FA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F2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B88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04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28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18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9579C">
            <w:pPr>
              <w:rPr>
                <w:rFonts w:hint="eastAsia" w:ascii="黑体" w:hAnsi="黑体" w:eastAsia="黑体" w:cs="黑体"/>
                <w:i/>
                <w:iCs/>
                <w:color w:val="000000"/>
                <w:sz w:val="16"/>
                <w:szCs w:val="16"/>
                <w:u w:val="none"/>
              </w:rPr>
            </w:pPr>
          </w:p>
        </w:tc>
      </w:tr>
      <w:tr w14:paraId="033C9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4F4F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3E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95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78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E66A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61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8C8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7C3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21517">
            <w:pPr>
              <w:rPr>
                <w:rFonts w:hint="eastAsia" w:ascii="黑体" w:hAnsi="黑体" w:eastAsia="黑体" w:cs="黑体"/>
                <w:i/>
                <w:iCs/>
                <w:color w:val="000000"/>
                <w:sz w:val="16"/>
                <w:szCs w:val="16"/>
                <w:u w:val="none"/>
              </w:rPr>
            </w:pPr>
          </w:p>
        </w:tc>
      </w:tr>
      <w:tr w14:paraId="5093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F29A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F3D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3545">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6720">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3AF031">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27E3">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4F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6E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B7F75">
            <w:pPr>
              <w:rPr>
                <w:rFonts w:hint="eastAsia" w:ascii="黑体" w:hAnsi="黑体" w:eastAsia="黑体" w:cs="黑体"/>
                <w:i/>
                <w:iCs/>
                <w:color w:val="000000"/>
                <w:sz w:val="16"/>
                <w:szCs w:val="16"/>
                <w:u w:val="none"/>
              </w:rPr>
            </w:pPr>
          </w:p>
        </w:tc>
      </w:tr>
      <w:tr w14:paraId="6B43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1969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C6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60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CE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13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724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C8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B8E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15F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E6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19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65B76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8482">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CBB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8FC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2D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迎检内容项数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67F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9B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19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062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1B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21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97FD">
            <w:pPr>
              <w:jc w:val="center"/>
              <w:rPr>
                <w:rFonts w:hint="eastAsia" w:ascii="微软雅黑" w:hAnsi="微软雅黑" w:eastAsia="微软雅黑" w:cs="微软雅黑"/>
                <w:i/>
                <w:iCs/>
                <w:color w:val="000000"/>
                <w:sz w:val="16"/>
                <w:szCs w:val="16"/>
                <w:u w:val="none"/>
              </w:rPr>
            </w:pPr>
          </w:p>
        </w:tc>
      </w:tr>
      <w:tr w14:paraId="42D9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33659">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0AFBF">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0A4A3">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4C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演练活动数量</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46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CA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4B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个</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FA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72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35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62E3">
            <w:pPr>
              <w:jc w:val="center"/>
              <w:rPr>
                <w:rFonts w:hint="eastAsia" w:ascii="微软雅黑" w:hAnsi="微软雅黑" w:eastAsia="微软雅黑" w:cs="微软雅黑"/>
                <w:i/>
                <w:iCs/>
                <w:color w:val="000000"/>
                <w:sz w:val="16"/>
                <w:szCs w:val="16"/>
                <w:u w:val="none"/>
              </w:rPr>
            </w:pPr>
          </w:p>
        </w:tc>
      </w:tr>
      <w:tr w14:paraId="0E8E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28B36">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E4ACB">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6A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07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符合检查督导要求和演练预期目标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9EB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CD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DA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3E7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94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6E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3177">
            <w:pPr>
              <w:jc w:val="center"/>
              <w:rPr>
                <w:rFonts w:hint="eastAsia" w:ascii="微软雅黑" w:hAnsi="微软雅黑" w:eastAsia="微软雅黑" w:cs="微软雅黑"/>
                <w:i/>
                <w:iCs/>
                <w:color w:val="000000"/>
                <w:sz w:val="16"/>
                <w:szCs w:val="16"/>
                <w:u w:val="none"/>
              </w:rPr>
            </w:pPr>
          </w:p>
        </w:tc>
      </w:tr>
      <w:tr w14:paraId="77395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E1134">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9C034">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63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12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72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A20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6A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A62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73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15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D321">
            <w:pPr>
              <w:jc w:val="center"/>
              <w:rPr>
                <w:rFonts w:hint="eastAsia" w:ascii="微软雅黑" w:hAnsi="微软雅黑" w:eastAsia="微软雅黑" w:cs="微软雅黑"/>
                <w:i/>
                <w:iCs/>
                <w:color w:val="000000"/>
                <w:sz w:val="16"/>
                <w:szCs w:val="16"/>
                <w:u w:val="none"/>
              </w:rPr>
            </w:pPr>
          </w:p>
        </w:tc>
      </w:tr>
      <w:tr w14:paraId="786F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C4750">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DE52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C7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99C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逐年减少因安全生产、事故灾害造成的生命财产损失，增强人民群众安全感幸福感</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8CA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30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0A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65C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C5B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43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CE89">
            <w:pPr>
              <w:jc w:val="center"/>
              <w:rPr>
                <w:rFonts w:hint="eastAsia" w:ascii="微软雅黑" w:hAnsi="微软雅黑" w:eastAsia="微软雅黑" w:cs="微软雅黑"/>
                <w:i/>
                <w:iCs/>
                <w:color w:val="000000"/>
                <w:sz w:val="16"/>
                <w:szCs w:val="16"/>
                <w:u w:val="none"/>
              </w:rPr>
            </w:pPr>
          </w:p>
        </w:tc>
      </w:tr>
      <w:tr w14:paraId="66B5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F4C03">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1672F">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C0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0DA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25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83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8F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A20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2C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46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0AD1">
            <w:pPr>
              <w:jc w:val="center"/>
              <w:rPr>
                <w:rFonts w:hint="eastAsia" w:ascii="微软雅黑" w:hAnsi="微软雅黑" w:eastAsia="微软雅黑" w:cs="微软雅黑"/>
                <w:i/>
                <w:iCs/>
                <w:color w:val="000000"/>
                <w:sz w:val="16"/>
                <w:szCs w:val="16"/>
                <w:u w:val="none"/>
              </w:rPr>
            </w:pPr>
          </w:p>
        </w:tc>
      </w:tr>
      <w:tr w14:paraId="71C52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6E17A">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17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09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9B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6D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26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50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061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2A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2A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93A4">
            <w:pPr>
              <w:jc w:val="center"/>
              <w:rPr>
                <w:rFonts w:hint="eastAsia" w:ascii="微软雅黑" w:hAnsi="微软雅黑" w:eastAsia="微软雅黑" w:cs="微软雅黑"/>
                <w:i/>
                <w:iCs/>
                <w:color w:val="000000"/>
                <w:sz w:val="16"/>
                <w:szCs w:val="16"/>
                <w:u w:val="none"/>
              </w:rPr>
            </w:pPr>
          </w:p>
        </w:tc>
      </w:tr>
      <w:tr w14:paraId="6FF4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3F3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EDD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79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F9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预算控制内支付</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48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18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30.76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9D4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0B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A0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67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713E">
            <w:pPr>
              <w:jc w:val="center"/>
              <w:rPr>
                <w:rFonts w:hint="eastAsia" w:ascii="微软雅黑" w:hAnsi="微软雅黑" w:eastAsia="微软雅黑" w:cs="微软雅黑"/>
                <w:i/>
                <w:iCs/>
                <w:color w:val="000000"/>
                <w:sz w:val="16"/>
                <w:szCs w:val="16"/>
                <w:u w:val="none"/>
              </w:rPr>
            </w:pPr>
          </w:p>
        </w:tc>
      </w:tr>
      <w:tr w14:paraId="1A378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D9C3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6E5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C64B">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7F29">
            <w:pPr>
              <w:rPr>
                <w:rFonts w:hint="eastAsia" w:ascii="宋体" w:hAnsi="宋体" w:eastAsia="宋体" w:cs="宋体"/>
                <w:i w:val="0"/>
                <w:iCs w:val="0"/>
                <w:color w:val="000000"/>
                <w:sz w:val="16"/>
                <w:szCs w:val="16"/>
                <w:u w:val="none"/>
              </w:rPr>
            </w:pPr>
          </w:p>
        </w:tc>
      </w:tr>
      <w:tr w14:paraId="6A4C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13C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FE23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本项目自评得分100分，本项目严格按照年初预算执行，按进度及时执行。2023年度通过应急管理能力保障经费项目为我市执法队伍建设、救援处置能力、行业监管能力等提供了综合保障服务。</w:t>
            </w:r>
          </w:p>
        </w:tc>
      </w:tr>
      <w:tr w14:paraId="4F79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904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58219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443C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3F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4B2B5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7BD4B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F61936">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6B9F06">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w:t>
            </w:r>
          </w:p>
        </w:tc>
      </w:tr>
      <w:tr w14:paraId="68B8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53E56C4B">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20CF2FB2">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4F59C5F3">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4812C12B">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2EBEB0BC">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76A911E1">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475D6A60">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7836F3AF">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3BAD800D">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17F0E946">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3DF18BAA">
            <w:pPr>
              <w:rPr>
                <w:rFonts w:hint="eastAsia" w:ascii="宋体" w:hAnsi="宋体" w:eastAsia="宋体" w:cs="宋体"/>
                <w:i w:val="0"/>
                <w:iCs w:val="0"/>
                <w:color w:val="000000"/>
                <w:sz w:val="16"/>
                <w:szCs w:val="16"/>
                <w:u w:val="none"/>
              </w:rPr>
            </w:pPr>
          </w:p>
        </w:tc>
      </w:tr>
      <w:tr w14:paraId="14260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21784550">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1A6E7C3D">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3D9834D8">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7851EC3A">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793F26FA">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374C05AC">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20725DEE">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1A4D73F5">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575488F8">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14BEDE8B">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45A7BE84">
            <w:pPr>
              <w:rPr>
                <w:rFonts w:hint="eastAsia" w:ascii="宋体" w:hAnsi="宋体" w:eastAsia="宋体" w:cs="宋体"/>
                <w:i w:val="0"/>
                <w:iCs w:val="0"/>
                <w:color w:val="000000"/>
                <w:sz w:val="16"/>
                <w:szCs w:val="16"/>
                <w:u w:val="none"/>
              </w:rPr>
            </w:pPr>
          </w:p>
        </w:tc>
      </w:tr>
      <w:tr w14:paraId="049BA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ED67C08">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35859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7900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FE705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51090022T000005159563-应急管理宣传教育经费</w:t>
            </w:r>
          </w:p>
        </w:tc>
      </w:tr>
      <w:tr w14:paraId="22405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DEBE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6D1E4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4DF43144">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089C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49101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DC8D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62142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C617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0B2161">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6CA30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D8AD3">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8ACA1">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B8E8B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通过多渠道、多形式宣传，增强全社会的安全意识和应急救助能力，促进社会和谐稳定</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44E202">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2023年度通过多渠道、多形式宣传，增强全社会的安全意识和应急救助能力，促进社会和谐稳定</w:t>
            </w:r>
          </w:p>
        </w:tc>
      </w:tr>
      <w:tr w14:paraId="7001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AC53E">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95F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E2787C">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是常态化下复工复产安全生产宣传；二是充分利用特定宣传日集中开展主题宣传教育活动；三是全力开展四川省2023年“安全生产月”咨询日活动；四是创新机制推动常态化宣传工作；五是深化线上+线下，强化媒体宣传作用和力度；六是健全宣传工作专班工作机制；七是强化新闻宣传“三支队伍”建设。</w:t>
            </w:r>
          </w:p>
        </w:tc>
      </w:tr>
      <w:tr w14:paraId="254A2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F95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12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9A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6BD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0506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FF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90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274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8E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2432B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1EAE7">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06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D17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48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798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9E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0F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CBE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109E1">
            <w:pPr>
              <w:rPr>
                <w:rFonts w:hint="eastAsia" w:ascii="黑体" w:hAnsi="黑体" w:eastAsia="黑体" w:cs="黑体"/>
                <w:i/>
                <w:iCs/>
                <w:color w:val="000000"/>
                <w:sz w:val="16"/>
                <w:szCs w:val="16"/>
                <w:u w:val="none"/>
              </w:rPr>
            </w:pPr>
          </w:p>
        </w:tc>
      </w:tr>
      <w:tr w14:paraId="4FBC6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FFE30">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33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01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86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F28C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1A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76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A4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E3A64">
            <w:pPr>
              <w:rPr>
                <w:rFonts w:hint="eastAsia" w:ascii="黑体" w:hAnsi="黑体" w:eastAsia="黑体" w:cs="黑体"/>
                <w:i/>
                <w:iCs/>
                <w:color w:val="000000"/>
                <w:sz w:val="16"/>
                <w:szCs w:val="16"/>
                <w:u w:val="none"/>
              </w:rPr>
            </w:pPr>
          </w:p>
        </w:tc>
      </w:tr>
      <w:tr w14:paraId="12707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A06F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FE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BD0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9E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B361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F3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FC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1A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34273">
            <w:pPr>
              <w:rPr>
                <w:rFonts w:hint="eastAsia" w:ascii="黑体" w:hAnsi="黑体" w:eastAsia="黑体" w:cs="黑体"/>
                <w:i/>
                <w:iCs/>
                <w:color w:val="000000"/>
                <w:sz w:val="16"/>
                <w:szCs w:val="16"/>
                <w:u w:val="none"/>
              </w:rPr>
            </w:pPr>
          </w:p>
        </w:tc>
      </w:tr>
      <w:tr w14:paraId="0B50D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20195">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1D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92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BD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354A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C31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F3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01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C4C4D">
            <w:pPr>
              <w:rPr>
                <w:rFonts w:hint="eastAsia" w:ascii="黑体" w:hAnsi="黑体" w:eastAsia="黑体" w:cs="黑体"/>
                <w:i/>
                <w:iCs/>
                <w:color w:val="000000"/>
                <w:sz w:val="16"/>
                <w:szCs w:val="16"/>
                <w:u w:val="none"/>
              </w:rPr>
            </w:pPr>
          </w:p>
        </w:tc>
      </w:tr>
      <w:tr w14:paraId="66ABC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09D8D">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20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A913">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1989">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80E24B">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4C73">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BF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4A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60552">
            <w:pPr>
              <w:rPr>
                <w:rFonts w:hint="eastAsia" w:ascii="黑体" w:hAnsi="黑体" w:eastAsia="黑体" w:cs="黑体"/>
                <w:i/>
                <w:iCs/>
                <w:color w:val="000000"/>
                <w:sz w:val="16"/>
                <w:szCs w:val="16"/>
                <w:u w:val="none"/>
              </w:rPr>
            </w:pPr>
          </w:p>
        </w:tc>
      </w:tr>
      <w:tr w14:paraId="63CF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DC7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5A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E5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13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A1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ED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E2F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E5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F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7DE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9A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78AE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321F4">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639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427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948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宣传活动数量</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6C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65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8DE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个</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8CD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53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9E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0261">
            <w:pPr>
              <w:jc w:val="center"/>
              <w:rPr>
                <w:rFonts w:hint="eastAsia" w:ascii="微软雅黑" w:hAnsi="微软雅黑" w:eastAsia="微软雅黑" w:cs="微软雅黑"/>
                <w:i/>
                <w:iCs/>
                <w:color w:val="000000"/>
                <w:sz w:val="16"/>
                <w:szCs w:val="16"/>
                <w:u w:val="none"/>
              </w:rPr>
            </w:pPr>
          </w:p>
        </w:tc>
      </w:tr>
      <w:tr w14:paraId="2EF0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F60DA">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C8C47">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5A94A">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D7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签约媒体公司数量</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E4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CB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7</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A8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个</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9A1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B9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F1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D30C">
            <w:pPr>
              <w:jc w:val="center"/>
              <w:rPr>
                <w:rFonts w:hint="eastAsia" w:ascii="微软雅黑" w:hAnsi="微软雅黑" w:eastAsia="微软雅黑" w:cs="微软雅黑"/>
                <w:i/>
                <w:iCs/>
                <w:color w:val="000000"/>
                <w:sz w:val="16"/>
                <w:szCs w:val="16"/>
                <w:u w:val="none"/>
              </w:rPr>
            </w:pPr>
          </w:p>
        </w:tc>
      </w:tr>
      <w:tr w14:paraId="0A05B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C4F3C">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32DCE">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F7C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56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满足相关活动总体要求，达到预期目标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FB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EB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9A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1DA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FD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08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8E24">
            <w:pPr>
              <w:jc w:val="center"/>
              <w:rPr>
                <w:rFonts w:hint="eastAsia" w:ascii="微软雅黑" w:hAnsi="微软雅黑" w:eastAsia="微软雅黑" w:cs="微软雅黑"/>
                <w:i/>
                <w:iCs/>
                <w:color w:val="000000"/>
                <w:sz w:val="16"/>
                <w:szCs w:val="16"/>
                <w:u w:val="none"/>
              </w:rPr>
            </w:pPr>
          </w:p>
        </w:tc>
      </w:tr>
      <w:tr w14:paraId="685AE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D83AD">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B21C5">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40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37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25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7C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AD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58D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ABC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F2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328F">
            <w:pPr>
              <w:jc w:val="center"/>
              <w:rPr>
                <w:rFonts w:hint="eastAsia" w:ascii="微软雅黑" w:hAnsi="微软雅黑" w:eastAsia="微软雅黑" w:cs="微软雅黑"/>
                <w:i/>
                <w:iCs/>
                <w:color w:val="000000"/>
                <w:sz w:val="16"/>
                <w:szCs w:val="16"/>
                <w:u w:val="none"/>
              </w:rPr>
            </w:pPr>
          </w:p>
        </w:tc>
      </w:tr>
      <w:tr w14:paraId="24B5E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93144">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16E5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FF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BF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增强全社会的安全意识和应急救助能力，促进社会和谐稳定</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B2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03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7A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A9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8A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FAA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792F">
            <w:pPr>
              <w:jc w:val="center"/>
              <w:rPr>
                <w:rFonts w:hint="eastAsia" w:ascii="微软雅黑" w:hAnsi="微软雅黑" w:eastAsia="微软雅黑" w:cs="微软雅黑"/>
                <w:i/>
                <w:iCs/>
                <w:color w:val="000000"/>
                <w:sz w:val="16"/>
                <w:szCs w:val="16"/>
                <w:u w:val="none"/>
              </w:rPr>
            </w:pPr>
          </w:p>
        </w:tc>
      </w:tr>
      <w:tr w14:paraId="296D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D42E8">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F1D8B">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A5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7C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63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F9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31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51D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3F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9C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80FC">
            <w:pPr>
              <w:jc w:val="center"/>
              <w:rPr>
                <w:rFonts w:hint="eastAsia" w:ascii="微软雅黑" w:hAnsi="微软雅黑" w:eastAsia="微软雅黑" w:cs="微软雅黑"/>
                <w:i/>
                <w:iCs/>
                <w:color w:val="000000"/>
                <w:sz w:val="16"/>
                <w:szCs w:val="16"/>
                <w:u w:val="none"/>
              </w:rPr>
            </w:pPr>
          </w:p>
        </w:tc>
      </w:tr>
      <w:tr w14:paraId="7A04D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4DB9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E9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605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6E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社会认可满意度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F3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A3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D5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DB4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C8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C2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78C4">
            <w:pPr>
              <w:jc w:val="center"/>
              <w:rPr>
                <w:rFonts w:hint="eastAsia" w:ascii="微软雅黑" w:hAnsi="微软雅黑" w:eastAsia="微软雅黑" w:cs="微软雅黑"/>
                <w:i/>
                <w:iCs/>
                <w:color w:val="000000"/>
                <w:sz w:val="16"/>
                <w:szCs w:val="16"/>
                <w:u w:val="none"/>
              </w:rPr>
            </w:pPr>
          </w:p>
        </w:tc>
      </w:tr>
      <w:tr w14:paraId="0B5B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C6A6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F2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1F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60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按预算数严控成本支出</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AD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D35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480000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07C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566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25C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CA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0F22">
            <w:pPr>
              <w:jc w:val="center"/>
              <w:rPr>
                <w:rFonts w:hint="eastAsia" w:ascii="微软雅黑" w:hAnsi="微软雅黑" w:eastAsia="微软雅黑" w:cs="微软雅黑"/>
                <w:i/>
                <w:iCs/>
                <w:color w:val="000000"/>
                <w:sz w:val="16"/>
                <w:szCs w:val="16"/>
                <w:u w:val="none"/>
              </w:rPr>
            </w:pPr>
          </w:p>
        </w:tc>
      </w:tr>
      <w:tr w14:paraId="669E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4D8C7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A1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7321">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6FC7">
            <w:pPr>
              <w:rPr>
                <w:rFonts w:hint="eastAsia" w:ascii="宋体" w:hAnsi="宋体" w:eastAsia="宋体" w:cs="宋体"/>
                <w:i w:val="0"/>
                <w:iCs w:val="0"/>
                <w:color w:val="000000"/>
                <w:sz w:val="16"/>
                <w:szCs w:val="16"/>
                <w:u w:val="none"/>
              </w:rPr>
            </w:pPr>
          </w:p>
        </w:tc>
      </w:tr>
      <w:tr w14:paraId="72585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D30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08B29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本项目自评得分100分，2023年度项目通过集中开展一系列贴近实际、贴近生活、贴近一线职工和社会公众的安全生产宣传教育活动，全面推进安全生产宣传教育“七进”活动，凝聚全社会安全发展共识，促进全市安全生产形势持续稳定好转，为实现全市事故起数、死亡人数两个明显下降提供有力的思想保证、精神动力和舆论支持。</w:t>
            </w:r>
          </w:p>
        </w:tc>
      </w:tr>
      <w:tr w14:paraId="67335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FC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9032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2F677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C8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E33ED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2EA3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A1E1B5">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FF7C32">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w:t>
            </w:r>
          </w:p>
        </w:tc>
      </w:tr>
      <w:tr w14:paraId="6555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0B6EB1EC">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16BF086B">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79814AC8">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19107732">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47632429">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094ED464">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3787526C">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63203112">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3C62CBBB">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466BDEFF">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5B2CDCEB">
            <w:pPr>
              <w:rPr>
                <w:rFonts w:hint="eastAsia" w:ascii="宋体" w:hAnsi="宋体" w:eastAsia="宋体" w:cs="宋体"/>
                <w:i w:val="0"/>
                <w:iCs w:val="0"/>
                <w:color w:val="000000"/>
                <w:sz w:val="16"/>
                <w:szCs w:val="16"/>
                <w:u w:val="none"/>
              </w:rPr>
            </w:pPr>
          </w:p>
        </w:tc>
      </w:tr>
      <w:tr w14:paraId="57F45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D54DBA">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6D5AF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939C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5DB16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51090022T000005159573-专家服务及委托业务经费</w:t>
            </w:r>
          </w:p>
        </w:tc>
      </w:tr>
      <w:tr w14:paraId="4B270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03B3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65CBF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7C935B6F">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5411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183A5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78E7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B8EB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65B6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AE39D2">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22C5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25893">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A8482">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DC611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为安全生产、突发事件应对处置、安全监管执法提供技术和业务保障，提高应急管理综合业务能力。</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6166F5">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对照年度目标，说明相关任务目标的完成情况（100字以内）</w:t>
            </w:r>
          </w:p>
        </w:tc>
      </w:tr>
      <w:tr w14:paraId="31C69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2360C">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D60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2178F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本项目通过聘请专家对城市安全发展状况进行评估、对风险管控情况进行评估、在烟花爆竹生产企业日常监管以及高温停产检查和复产验收等环节进行评估、工贸行业安全生产标准化三级达标评审、对应急预案编制情况进行评审、对液氨制冷粉尘涉爆有限空间作业企业提供安全诊断服务对工贸企业提供安全生产清单制管理工作以及双重预防体系建设的咨询服务、对事故进行调查评估等服务。</w:t>
            </w:r>
          </w:p>
        </w:tc>
      </w:tr>
      <w:tr w14:paraId="2920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0692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60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F8F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6BE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DF94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6C4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0DA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3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A8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34E2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C2B5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E0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67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50.84</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6A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50.84</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132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9E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99.96%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5AA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FA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495D7">
            <w:pPr>
              <w:rPr>
                <w:rFonts w:hint="eastAsia" w:ascii="黑体" w:hAnsi="黑体" w:eastAsia="黑体" w:cs="黑体"/>
                <w:i/>
                <w:iCs/>
                <w:color w:val="000000"/>
                <w:sz w:val="16"/>
                <w:szCs w:val="16"/>
                <w:u w:val="none"/>
              </w:rPr>
            </w:pPr>
          </w:p>
        </w:tc>
      </w:tr>
      <w:tr w14:paraId="34FC4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55DF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E8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4C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50.84</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38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50.84</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5875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EB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99.96%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61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AC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41678">
            <w:pPr>
              <w:rPr>
                <w:rFonts w:hint="eastAsia" w:ascii="黑体" w:hAnsi="黑体" w:eastAsia="黑体" w:cs="黑体"/>
                <w:i/>
                <w:iCs/>
                <w:color w:val="000000"/>
                <w:sz w:val="16"/>
                <w:szCs w:val="16"/>
                <w:u w:val="none"/>
              </w:rPr>
            </w:pPr>
          </w:p>
        </w:tc>
      </w:tr>
      <w:tr w14:paraId="736E5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BCD8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B8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4F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D9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3F3D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53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3F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7D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8DFA5">
            <w:pPr>
              <w:rPr>
                <w:rFonts w:hint="eastAsia" w:ascii="黑体" w:hAnsi="黑体" w:eastAsia="黑体" w:cs="黑体"/>
                <w:i/>
                <w:iCs/>
                <w:color w:val="000000"/>
                <w:sz w:val="16"/>
                <w:szCs w:val="16"/>
                <w:u w:val="none"/>
              </w:rPr>
            </w:pPr>
          </w:p>
        </w:tc>
      </w:tr>
      <w:tr w14:paraId="37F06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FC8BF">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EE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4D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F9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6142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84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0E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E5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4DE9A">
            <w:pPr>
              <w:rPr>
                <w:rFonts w:hint="eastAsia" w:ascii="黑体" w:hAnsi="黑体" w:eastAsia="黑体" w:cs="黑体"/>
                <w:i/>
                <w:iCs/>
                <w:color w:val="000000"/>
                <w:sz w:val="16"/>
                <w:szCs w:val="16"/>
                <w:u w:val="none"/>
              </w:rPr>
            </w:pPr>
          </w:p>
        </w:tc>
      </w:tr>
      <w:tr w14:paraId="4659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BCC5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CA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1F1B">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0AD7">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FEBD29">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51C6">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2F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2D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17131">
            <w:pPr>
              <w:rPr>
                <w:rFonts w:hint="eastAsia" w:ascii="黑体" w:hAnsi="黑体" w:eastAsia="黑体" w:cs="黑体"/>
                <w:i/>
                <w:iCs/>
                <w:color w:val="000000"/>
                <w:sz w:val="16"/>
                <w:szCs w:val="16"/>
                <w:u w:val="none"/>
              </w:rPr>
            </w:pPr>
          </w:p>
        </w:tc>
      </w:tr>
      <w:tr w14:paraId="76CFE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26AA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47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7D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C5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15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60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9E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42D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8F8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42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DF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4ED00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0F1E9">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85F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676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27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危化品企业驻场企业数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5E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44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24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家</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B3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F8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E7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C3C1">
            <w:pPr>
              <w:jc w:val="center"/>
              <w:rPr>
                <w:rFonts w:hint="eastAsia" w:ascii="微软雅黑" w:hAnsi="微软雅黑" w:eastAsia="微软雅黑" w:cs="微软雅黑"/>
                <w:i/>
                <w:iCs/>
                <w:color w:val="000000"/>
                <w:sz w:val="16"/>
                <w:szCs w:val="16"/>
                <w:u w:val="none"/>
              </w:rPr>
            </w:pPr>
          </w:p>
        </w:tc>
      </w:tr>
      <w:tr w14:paraId="5E69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F9074">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11C10">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6535C">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74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执法企业数</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B8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1C4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7C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家</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7A4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6F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30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AE5A">
            <w:pPr>
              <w:jc w:val="center"/>
              <w:rPr>
                <w:rFonts w:hint="eastAsia" w:ascii="微软雅黑" w:hAnsi="微软雅黑" w:eastAsia="微软雅黑" w:cs="微软雅黑"/>
                <w:i/>
                <w:iCs/>
                <w:color w:val="000000"/>
                <w:sz w:val="16"/>
                <w:szCs w:val="16"/>
                <w:u w:val="none"/>
              </w:rPr>
            </w:pPr>
          </w:p>
        </w:tc>
      </w:tr>
      <w:tr w14:paraId="7F68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6311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31846">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3B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EA4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服务标准符合（川安委〔2020〕7号）、《企业安全生产标准化基本规范》（GB/T33000-2016）要求</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AC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DE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E8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6CC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CC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E5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1CDA">
            <w:pPr>
              <w:jc w:val="center"/>
              <w:rPr>
                <w:rFonts w:hint="eastAsia" w:ascii="微软雅黑" w:hAnsi="微软雅黑" w:eastAsia="微软雅黑" w:cs="微软雅黑"/>
                <w:i/>
                <w:iCs/>
                <w:color w:val="000000"/>
                <w:sz w:val="16"/>
                <w:szCs w:val="16"/>
                <w:u w:val="none"/>
              </w:rPr>
            </w:pPr>
          </w:p>
        </w:tc>
      </w:tr>
      <w:tr w14:paraId="65997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4D612">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C238A">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F2C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D1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49A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4A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04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1D3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ADD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55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4B13">
            <w:pPr>
              <w:jc w:val="center"/>
              <w:rPr>
                <w:rFonts w:hint="eastAsia" w:ascii="微软雅黑" w:hAnsi="微软雅黑" w:eastAsia="微软雅黑" w:cs="微软雅黑"/>
                <w:i/>
                <w:iCs/>
                <w:color w:val="000000"/>
                <w:sz w:val="16"/>
                <w:szCs w:val="16"/>
                <w:u w:val="none"/>
              </w:rPr>
            </w:pPr>
          </w:p>
        </w:tc>
      </w:tr>
      <w:tr w14:paraId="46EB0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6163F">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CC3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89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B62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对全市危化品、工矿商贸企业安全监管影响</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FE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2F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DF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984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C5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5E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CBAD">
            <w:pPr>
              <w:jc w:val="center"/>
              <w:rPr>
                <w:rFonts w:hint="eastAsia" w:ascii="微软雅黑" w:hAnsi="微软雅黑" w:eastAsia="微软雅黑" w:cs="微软雅黑"/>
                <w:i/>
                <w:iCs/>
                <w:color w:val="000000"/>
                <w:sz w:val="16"/>
                <w:szCs w:val="16"/>
                <w:u w:val="none"/>
              </w:rPr>
            </w:pPr>
          </w:p>
        </w:tc>
      </w:tr>
      <w:tr w14:paraId="0BF38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7B956">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BC4DB">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00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86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86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45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9A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B43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8BB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41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1843">
            <w:pPr>
              <w:jc w:val="center"/>
              <w:rPr>
                <w:rFonts w:hint="eastAsia" w:ascii="微软雅黑" w:hAnsi="微软雅黑" w:eastAsia="微软雅黑" w:cs="微软雅黑"/>
                <w:i/>
                <w:iCs/>
                <w:color w:val="000000"/>
                <w:sz w:val="16"/>
                <w:szCs w:val="16"/>
                <w:u w:val="none"/>
              </w:rPr>
            </w:pPr>
          </w:p>
        </w:tc>
      </w:tr>
      <w:tr w14:paraId="2BDE8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1A70D">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51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C2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5B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服务企业满意度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BD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0B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75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D15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A1F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8A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D95F">
            <w:pPr>
              <w:jc w:val="center"/>
              <w:rPr>
                <w:rFonts w:hint="eastAsia" w:ascii="微软雅黑" w:hAnsi="微软雅黑" w:eastAsia="微软雅黑" w:cs="微软雅黑"/>
                <w:i/>
                <w:iCs/>
                <w:color w:val="000000"/>
                <w:sz w:val="16"/>
                <w:szCs w:val="16"/>
                <w:u w:val="none"/>
              </w:rPr>
            </w:pPr>
          </w:p>
        </w:tc>
      </w:tr>
      <w:tr w14:paraId="3BF6F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BD26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AE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88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52B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按预算数严控经济支出</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AF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52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508400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BA2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FE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6A8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0E9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DEC0">
            <w:pPr>
              <w:jc w:val="center"/>
              <w:rPr>
                <w:rFonts w:hint="eastAsia" w:ascii="微软雅黑" w:hAnsi="微软雅黑" w:eastAsia="微软雅黑" w:cs="微软雅黑"/>
                <w:i/>
                <w:iCs/>
                <w:color w:val="000000"/>
                <w:sz w:val="16"/>
                <w:szCs w:val="16"/>
                <w:u w:val="none"/>
              </w:rPr>
            </w:pPr>
          </w:p>
        </w:tc>
      </w:tr>
      <w:tr w14:paraId="0EC2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7774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01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3805">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DE98">
            <w:pPr>
              <w:rPr>
                <w:rFonts w:hint="eastAsia" w:ascii="宋体" w:hAnsi="宋体" w:eastAsia="宋体" w:cs="宋体"/>
                <w:i w:val="0"/>
                <w:iCs w:val="0"/>
                <w:color w:val="000000"/>
                <w:sz w:val="16"/>
                <w:szCs w:val="16"/>
                <w:u w:val="none"/>
              </w:rPr>
            </w:pPr>
          </w:p>
        </w:tc>
      </w:tr>
      <w:tr w14:paraId="33D7E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8E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65F75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自评得分99分，该项目设计合理、预算执行率高，通过应急管理专家参与服务，为全面防范风险，坚决守住安全生产底线，建立统一指挥、专常兼备、反应灵敏、上下联动、平战结合的应急管理体制机制，提高处置突发事件和应急救援能力，提供了有力的决策咨询和技术支撑服务，圆满达到绩效目标。</w:t>
            </w:r>
          </w:p>
        </w:tc>
      </w:tr>
      <w:tr w14:paraId="13A3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03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6065B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应急管理专家数量较少，个别领域极度缺乏，且区域分布较集中，对专家全方位服务于应急管理障碍较大。</w:t>
            </w:r>
          </w:p>
        </w:tc>
      </w:tr>
      <w:tr w14:paraId="3426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96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DDC15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加大应急管理专家人才的引进和本土人才培养，建立健全应急管理专家服务管理体制机制，为专家长效发展营造良好的社会环境。</w:t>
            </w:r>
          </w:p>
        </w:tc>
      </w:tr>
      <w:tr w14:paraId="0960A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44090">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项目负责人：杨祖国</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006DD3">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0B98F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5CA94678">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61478C40">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2AE40D12">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1C46F25A">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5DD9CAA3">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6F2267FD">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4662DEDD">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721C6A2E">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6D0BCEDE">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3ECF1D92">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6F9CA2E7">
            <w:pPr>
              <w:rPr>
                <w:rFonts w:hint="eastAsia" w:ascii="宋体" w:hAnsi="宋体" w:eastAsia="宋体" w:cs="宋体"/>
                <w:i w:val="0"/>
                <w:iCs w:val="0"/>
                <w:color w:val="000000"/>
                <w:sz w:val="16"/>
                <w:szCs w:val="16"/>
                <w:u w:val="none"/>
              </w:rPr>
            </w:pPr>
          </w:p>
        </w:tc>
      </w:tr>
      <w:tr w14:paraId="32DAE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5DE5E2F">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72953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B062C">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2C95E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51090022T000005238080-应急设施设备购置</w:t>
            </w:r>
          </w:p>
        </w:tc>
      </w:tr>
      <w:tr w14:paraId="7852B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FCC3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F5FC8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459DD969">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942A1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12B6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0569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514E8">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C6B8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08A079">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1D2B5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2CF8">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D3170">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C8066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为突发事件应对处置及现场指挥部搭建提供物资保障</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B0D5AD">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为突发事件应对处置及现场指挥部搭建提供物资保障</w:t>
            </w:r>
          </w:p>
        </w:tc>
      </w:tr>
      <w:tr w14:paraId="207E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39489">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C01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65FF10">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依据2023年工作要点、人员和办公场地调整情况，结合“市级行政事业单位通用办公家具和设备配置标准” 由局办公室提出项目实施初步方案，报分管领导审核同意后，报经局党委审定同意后列入部门2023年部门预算报市财政局审定。</w:t>
            </w:r>
          </w:p>
        </w:tc>
      </w:tr>
      <w:tr w14:paraId="7C73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D307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DC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F0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52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5740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CD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34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35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3F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4F91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6A287">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25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5F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14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20B8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86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FD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E1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60747">
            <w:pPr>
              <w:rPr>
                <w:rFonts w:hint="eastAsia" w:ascii="黑体" w:hAnsi="黑体" w:eastAsia="黑体" w:cs="黑体"/>
                <w:i/>
                <w:iCs/>
                <w:color w:val="000000"/>
                <w:sz w:val="16"/>
                <w:szCs w:val="16"/>
                <w:u w:val="none"/>
              </w:rPr>
            </w:pPr>
          </w:p>
        </w:tc>
      </w:tr>
      <w:tr w14:paraId="61D6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783A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1D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14D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CF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309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C3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34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74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E509F">
            <w:pPr>
              <w:rPr>
                <w:rFonts w:hint="eastAsia" w:ascii="黑体" w:hAnsi="黑体" w:eastAsia="黑体" w:cs="黑体"/>
                <w:i/>
                <w:iCs/>
                <w:color w:val="000000"/>
                <w:sz w:val="16"/>
                <w:szCs w:val="16"/>
                <w:u w:val="none"/>
              </w:rPr>
            </w:pPr>
          </w:p>
        </w:tc>
      </w:tr>
      <w:tr w14:paraId="05B0A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D06A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67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F2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F1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077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D8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F9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4F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F7BB">
            <w:pPr>
              <w:rPr>
                <w:rFonts w:hint="eastAsia" w:ascii="黑体" w:hAnsi="黑体" w:eastAsia="黑体" w:cs="黑体"/>
                <w:i/>
                <w:iCs/>
                <w:color w:val="000000"/>
                <w:sz w:val="16"/>
                <w:szCs w:val="16"/>
                <w:u w:val="none"/>
              </w:rPr>
            </w:pPr>
          </w:p>
        </w:tc>
      </w:tr>
      <w:tr w14:paraId="23BB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B5AE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72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5E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9FA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970A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133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157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C6C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5A4A9">
            <w:pPr>
              <w:rPr>
                <w:rFonts w:hint="eastAsia" w:ascii="黑体" w:hAnsi="黑体" w:eastAsia="黑体" w:cs="黑体"/>
                <w:i/>
                <w:iCs/>
                <w:color w:val="000000"/>
                <w:sz w:val="16"/>
                <w:szCs w:val="16"/>
                <w:u w:val="none"/>
              </w:rPr>
            </w:pPr>
          </w:p>
        </w:tc>
      </w:tr>
      <w:tr w14:paraId="722E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A38E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71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9DCE">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52D5">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0F7AAD">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A7E2">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DA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8F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D5E75">
            <w:pPr>
              <w:rPr>
                <w:rFonts w:hint="eastAsia" w:ascii="黑体" w:hAnsi="黑体" w:eastAsia="黑体" w:cs="黑体"/>
                <w:i/>
                <w:iCs/>
                <w:color w:val="000000"/>
                <w:sz w:val="16"/>
                <w:szCs w:val="16"/>
                <w:u w:val="none"/>
              </w:rPr>
            </w:pPr>
          </w:p>
        </w:tc>
      </w:tr>
      <w:tr w14:paraId="73FA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463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CB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2F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E8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1D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C12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06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16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53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74B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59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5E49E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1510">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4EA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DE1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D0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简易指挥车辆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47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AE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FC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8D7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30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6C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B46A">
            <w:pPr>
              <w:jc w:val="center"/>
              <w:rPr>
                <w:rFonts w:hint="eastAsia" w:ascii="微软雅黑" w:hAnsi="微软雅黑" w:eastAsia="微软雅黑" w:cs="微软雅黑"/>
                <w:i/>
                <w:iCs/>
                <w:color w:val="000000"/>
                <w:sz w:val="16"/>
                <w:szCs w:val="16"/>
                <w:u w:val="none"/>
              </w:rPr>
            </w:pPr>
          </w:p>
        </w:tc>
      </w:tr>
      <w:tr w14:paraId="0C11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3FCF0">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EFD39">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4A40B">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28A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应急包</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BE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EB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36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个（套）</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A2B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B7C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E5D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A726">
            <w:pPr>
              <w:jc w:val="center"/>
              <w:rPr>
                <w:rFonts w:hint="eastAsia" w:ascii="微软雅黑" w:hAnsi="微软雅黑" w:eastAsia="微软雅黑" w:cs="微软雅黑"/>
                <w:i/>
                <w:iCs/>
                <w:color w:val="000000"/>
                <w:sz w:val="16"/>
                <w:szCs w:val="16"/>
                <w:u w:val="none"/>
              </w:rPr>
            </w:pPr>
          </w:p>
        </w:tc>
      </w:tr>
      <w:tr w14:paraId="68E6D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B090D">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745E6">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1C13B">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09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防爆转运泵</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90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07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ED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F65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2E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84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56AF">
            <w:pPr>
              <w:jc w:val="center"/>
              <w:rPr>
                <w:rFonts w:hint="eastAsia" w:ascii="微软雅黑" w:hAnsi="微软雅黑" w:eastAsia="微软雅黑" w:cs="微软雅黑"/>
                <w:i/>
                <w:iCs/>
                <w:color w:val="000000"/>
                <w:sz w:val="16"/>
                <w:szCs w:val="16"/>
                <w:u w:val="none"/>
              </w:rPr>
            </w:pPr>
          </w:p>
        </w:tc>
      </w:tr>
      <w:tr w14:paraId="67F44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5611">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A4B28">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AA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06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满足突发事件应对处置及现场指挥部基本需要，符合相关行业质量标准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EE1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E5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9B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751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7D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F6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D52">
            <w:pPr>
              <w:jc w:val="center"/>
              <w:rPr>
                <w:rFonts w:hint="eastAsia" w:ascii="微软雅黑" w:hAnsi="微软雅黑" w:eastAsia="微软雅黑" w:cs="微软雅黑"/>
                <w:i/>
                <w:iCs/>
                <w:color w:val="000000"/>
                <w:sz w:val="16"/>
                <w:szCs w:val="16"/>
                <w:u w:val="none"/>
              </w:rPr>
            </w:pPr>
          </w:p>
        </w:tc>
      </w:tr>
      <w:tr w14:paraId="18652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8FF0B">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B353F">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3B1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34B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F5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C9B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B7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DB1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CF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8A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48FF">
            <w:pPr>
              <w:jc w:val="center"/>
              <w:rPr>
                <w:rFonts w:hint="eastAsia" w:ascii="微软雅黑" w:hAnsi="微软雅黑" w:eastAsia="微软雅黑" w:cs="微软雅黑"/>
                <w:i/>
                <w:iCs/>
                <w:color w:val="000000"/>
                <w:sz w:val="16"/>
                <w:szCs w:val="16"/>
                <w:u w:val="none"/>
              </w:rPr>
            </w:pPr>
          </w:p>
        </w:tc>
      </w:tr>
      <w:tr w14:paraId="35352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3CD9">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2878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B2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29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为突发事件应对处置及现场指挥部搭建提供物资保障</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22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B2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优良中差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03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662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E4A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C7D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392B">
            <w:pPr>
              <w:jc w:val="center"/>
              <w:rPr>
                <w:rFonts w:hint="eastAsia" w:ascii="微软雅黑" w:hAnsi="微软雅黑" w:eastAsia="微软雅黑" w:cs="微软雅黑"/>
                <w:i/>
                <w:iCs/>
                <w:color w:val="000000"/>
                <w:sz w:val="16"/>
                <w:szCs w:val="16"/>
                <w:u w:val="none"/>
              </w:rPr>
            </w:pPr>
          </w:p>
        </w:tc>
      </w:tr>
      <w:tr w14:paraId="2AD06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6E43B">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FB85D">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9B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25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制度可持续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6C6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84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DC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C71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3F3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EA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AB4F">
            <w:pPr>
              <w:jc w:val="center"/>
              <w:rPr>
                <w:rFonts w:hint="eastAsia" w:ascii="微软雅黑" w:hAnsi="微软雅黑" w:eastAsia="微软雅黑" w:cs="微软雅黑"/>
                <w:i/>
                <w:iCs/>
                <w:color w:val="000000"/>
                <w:sz w:val="16"/>
                <w:szCs w:val="16"/>
                <w:u w:val="none"/>
              </w:rPr>
            </w:pPr>
          </w:p>
        </w:tc>
      </w:tr>
      <w:tr w14:paraId="43ED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00C45">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A3A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1EE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586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使用人满意度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E6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D8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B2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6CB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F6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F8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0B4">
            <w:pPr>
              <w:jc w:val="center"/>
              <w:rPr>
                <w:rFonts w:hint="eastAsia" w:ascii="微软雅黑" w:hAnsi="微软雅黑" w:eastAsia="微软雅黑" w:cs="微软雅黑"/>
                <w:i/>
                <w:iCs/>
                <w:color w:val="000000"/>
                <w:sz w:val="16"/>
                <w:szCs w:val="16"/>
                <w:u w:val="none"/>
              </w:rPr>
            </w:pPr>
          </w:p>
        </w:tc>
      </w:tr>
      <w:tr w14:paraId="13921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1F6B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C8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63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E6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按预算数严控经济支出</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89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DF0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108400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1D6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268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3E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AE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106F">
            <w:pPr>
              <w:jc w:val="center"/>
              <w:rPr>
                <w:rFonts w:hint="eastAsia" w:ascii="微软雅黑" w:hAnsi="微软雅黑" w:eastAsia="微软雅黑" w:cs="微软雅黑"/>
                <w:i/>
                <w:iCs/>
                <w:color w:val="000000"/>
                <w:sz w:val="16"/>
                <w:szCs w:val="16"/>
                <w:u w:val="none"/>
              </w:rPr>
            </w:pPr>
          </w:p>
        </w:tc>
      </w:tr>
      <w:tr w14:paraId="4C6F4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40E0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0D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BBF1">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D67F">
            <w:pPr>
              <w:rPr>
                <w:rFonts w:hint="eastAsia" w:ascii="宋体" w:hAnsi="宋体" w:eastAsia="宋体" w:cs="宋体"/>
                <w:i w:val="0"/>
                <w:iCs w:val="0"/>
                <w:color w:val="000000"/>
                <w:sz w:val="16"/>
                <w:szCs w:val="16"/>
                <w:u w:val="none"/>
              </w:rPr>
            </w:pPr>
          </w:p>
        </w:tc>
      </w:tr>
      <w:tr w14:paraId="08C5D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18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85D69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本项目自评得分100分，2023年通过本项目实施，保障了我局各科室日常办公设施设备采购工作，为突发事件应对处理及现场指挥部搭建提供物资保障。</w:t>
            </w:r>
          </w:p>
        </w:tc>
      </w:tr>
      <w:tr w14:paraId="64CA3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B0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9B1B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突发事件应对处置设施设备配置有待加强。</w:t>
            </w:r>
          </w:p>
        </w:tc>
      </w:tr>
      <w:tr w14:paraId="058B9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24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28AD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继续加大应急设施设备采购预算投入，增强突发事件应对处置能力。</w:t>
            </w:r>
          </w:p>
        </w:tc>
      </w:tr>
      <w:tr w14:paraId="1F0FF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7DAB5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5E66A7">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w:t>
            </w:r>
          </w:p>
        </w:tc>
      </w:tr>
      <w:tr w14:paraId="2BF7B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30693197">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4089757B">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3724D766">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0FE569D6">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7E9B6DB9">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2BAEEE1B">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7BE1EB33">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1D0B7C17">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65D058FC">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53A269C4">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31CAD0F6">
            <w:pPr>
              <w:rPr>
                <w:rFonts w:hint="eastAsia" w:ascii="宋体" w:hAnsi="宋体" w:eastAsia="宋体" w:cs="宋体"/>
                <w:i w:val="0"/>
                <w:iCs w:val="0"/>
                <w:color w:val="000000"/>
                <w:sz w:val="16"/>
                <w:szCs w:val="16"/>
                <w:u w:val="none"/>
              </w:rPr>
            </w:pPr>
          </w:p>
        </w:tc>
      </w:tr>
      <w:tr w14:paraId="265F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3E62BEC8">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51D5934E">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3A7235CD">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6B64FA12">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4A4743B3">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57D89D28">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48FEDEE6">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44B5DEFB">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01EE769E">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1670C7A3">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04CA1745">
            <w:pPr>
              <w:rPr>
                <w:rFonts w:hint="eastAsia" w:ascii="宋体" w:hAnsi="宋体" w:eastAsia="宋体" w:cs="宋体"/>
                <w:i w:val="0"/>
                <w:iCs w:val="0"/>
                <w:color w:val="000000"/>
                <w:sz w:val="16"/>
                <w:szCs w:val="16"/>
                <w:u w:val="none"/>
              </w:rPr>
            </w:pPr>
          </w:p>
        </w:tc>
      </w:tr>
      <w:tr w14:paraId="392F5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7016841">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1FABE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2D058">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03228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51090022T000007208604-省级安全生产专项资金</w:t>
            </w:r>
          </w:p>
        </w:tc>
      </w:tr>
      <w:tr w14:paraId="7A2C3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16564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E59A5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71C2C596">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0584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5CE1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9A63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4FCE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912B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3B22EF">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4D0CC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CA2A6">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37466">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62A66B">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建设遂宁市安全生产清单制管理信息化系统，以信息化手段在遂宁市全面推行实施安全生产清单制2.0版，有效利用云计算、大数据、人工智能等信息技术手段赋能安全生产。结合遂宁市深化应急管理综合行政执法改革实施方案，完善执法装备设置采购（含经开、河东、高新区），强化执法队伍培训，提升综合行政执法能力。</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4D79AF">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对照年度目标，说明相关任务目标的完成情况（100字以内）</w:t>
            </w:r>
          </w:p>
        </w:tc>
      </w:tr>
      <w:tr w14:paraId="2FE57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A1382">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021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18536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因本项信息化建设属省、市共建，省级多次调整建设内容，在省厅确定省级建设内容后，2023年底我市同步完成了项目初步设计。</w:t>
            </w:r>
          </w:p>
        </w:tc>
      </w:tr>
      <w:tr w14:paraId="1F74B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9CD8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C9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26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0C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A482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E71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80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E0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2D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0D6F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70C2D">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BD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9B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356.06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B0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356.06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7A93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68.51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8F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19.24%</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6B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1B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62AEF">
            <w:pPr>
              <w:keepNext w:val="0"/>
              <w:keepLines w:val="0"/>
              <w:widowControl/>
              <w:suppressLineNumbers w:val="0"/>
              <w:jc w:val="left"/>
              <w:textAlignment w:val="center"/>
              <w:rPr>
                <w:rFonts w:hint="eastAsia" w:ascii="黑体" w:hAnsi="黑体" w:eastAsia="黑体" w:cs="黑体"/>
                <w:i/>
                <w:iCs/>
                <w:color w:val="000000"/>
                <w:sz w:val="16"/>
                <w:szCs w:val="16"/>
                <w:u w:val="none"/>
              </w:rPr>
            </w:pPr>
            <w:r>
              <w:rPr>
                <w:rFonts w:hint="eastAsia" w:ascii="黑体" w:hAnsi="黑体" w:eastAsia="黑体" w:cs="黑体"/>
                <w:i/>
                <w:iCs/>
                <w:color w:val="000000"/>
                <w:kern w:val="0"/>
                <w:sz w:val="16"/>
                <w:szCs w:val="16"/>
                <w:u w:val="none"/>
                <w:lang w:val="en-US" w:eastAsia="zh-CN" w:bidi="ar"/>
              </w:rPr>
              <w:t>省级安全生产专项资金2023年度完成了当年度预算目标</w:t>
            </w:r>
          </w:p>
        </w:tc>
      </w:tr>
      <w:tr w14:paraId="0AADA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0BA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35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6D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356.06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D5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356.06</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5E81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68.51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41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19.24%</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6D2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041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C4AF">
            <w:pPr>
              <w:rPr>
                <w:rFonts w:hint="eastAsia" w:ascii="黑体" w:hAnsi="黑体" w:eastAsia="黑体" w:cs="黑体"/>
                <w:i/>
                <w:iCs/>
                <w:color w:val="000000"/>
                <w:sz w:val="16"/>
                <w:szCs w:val="16"/>
                <w:u w:val="none"/>
              </w:rPr>
            </w:pPr>
          </w:p>
        </w:tc>
      </w:tr>
      <w:tr w14:paraId="3003E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6CE75">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DAD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DB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855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1931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93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43D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67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B63FE">
            <w:pPr>
              <w:rPr>
                <w:rFonts w:hint="eastAsia" w:ascii="黑体" w:hAnsi="黑体" w:eastAsia="黑体" w:cs="黑体"/>
                <w:i/>
                <w:iCs/>
                <w:color w:val="000000"/>
                <w:sz w:val="16"/>
                <w:szCs w:val="16"/>
                <w:u w:val="none"/>
              </w:rPr>
            </w:pPr>
          </w:p>
        </w:tc>
      </w:tr>
      <w:tr w14:paraId="3493D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E3BE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88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8E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91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A75D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F7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B2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32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57778">
            <w:pPr>
              <w:rPr>
                <w:rFonts w:hint="eastAsia" w:ascii="黑体" w:hAnsi="黑体" w:eastAsia="黑体" w:cs="黑体"/>
                <w:i/>
                <w:iCs/>
                <w:color w:val="000000"/>
                <w:sz w:val="16"/>
                <w:szCs w:val="16"/>
                <w:u w:val="none"/>
              </w:rPr>
            </w:pPr>
          </w:p>
        </w:tc>
      </w:tr>
      <w:tr w14:paraId="1F66B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74DE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BC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E209">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4EFD">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726B34">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4E2F">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BE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A0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FFB26">
            <w:pPr>
              <w:rPr>
                <w:rFonts w:hint="eastAsia" w:ascii="黑体" w:hAnsi="黑体" w:eastAsia="黑体" w:cs="黑体"/>
                <w:i/>
                <w:iCs/>
                <w:color w:val="000000"/>
                <w:sz w:val="16"/>
                <w:szCs w:val="16"/>
                <w:u w:val="none"/>
              </w:rPr>
            </w:pPr>
          </w:p>
        </w:tc>
      </w:tr>
      <w:tr w14:paraId="482B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5CEC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32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82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81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F8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E60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1D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5B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7FA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BC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CF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1E28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71F9E">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2F1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B9F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B6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完成安全生产清单制管理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C36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1D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00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个</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F88F">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B0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F5B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C443">
            <w:pPr>
              <w:jc w:val="center"/>
              <w:rPr>
                <w:rFonts w:hint="eastAsia" w:ascii="微软雅黑" w:hAnsi="微软雅黑" w:eastAsia="微软雅黑" w:cs="微软雅黑"/>
                <w:i/>
                <w:iCs/>
                <w:color w:val="000000"/>
                <w:sz w:val="16"/>
                <w:szCs w:val="16"/>
                <w:u w:val="none"/>
              </w:rPr>
            </w:pPr>
          </w:p>
        </w:tc>
      </w:tr>
      <w:tr w14:paraId="51134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66E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2A448">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B13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B8F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质量要求</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E8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839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A5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3008">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D1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EA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7BB2">
            <w:pPr>
              <w:jc w:val="center"/>
              <w:rPr>
                <w:rFonts w:hint="eastAsia" w:ascii="微软雅黑" w:hAnsi="微软雅黑" w:eastAsia="微软雅黑" w:cs="微软雅黑"/>
                <w:i/>
                <w:iCs/>
                <w:color w:val="000000"/>
                <w:sz w:val="16"/>
                <w:szCs w:val="16"/>
                <w:u w:val="none"/>
              </w:rPr>
            </w:pPr>
          </w:p>
        </w:tc>
      </w:tr>
      <w:tr w14:paraId="48247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8077A">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A096">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723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BAB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完成时效</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023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1E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AA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CADA">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B9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F0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7612">
            <w:pPr>
              <w:jc w:val="center"/>
              <w:rPr>
                <w:rFonts w:hint="eastAsia" w:ascii="微软雅黑" w:hAnsi="微软雅黑" w:eastAsia="微软雅黑" w:cs="微软雅黑"/>
                <w:i/>
                <w:iCs/>
                <w:color w:val="000000"/>
                <w:sz w:val="16"/>
                <w:szCs w:val="16"/>
                <w:u w:val="none"/>
              </w:rPr>
            </w:pPr>
          </w:p>
        </w:tc>
      </w:tr>
      <w:tr w14:paraId="45419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A8D2D">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F11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AD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52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对我市安全生产工作的影响</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4B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32C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提升我市安全生产能力</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E718">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6E84">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FA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3D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669A">
            <w:pPr>
              <w:jc w:val="center"/>
              <w:rPr>
                <w:rFonts w:hint="eastAsia" w:ascii="微软雅黑" w:hAnsi="微软雅黑" w:eastAsia="微软雅黑" w:cs="微软雅黑"/>
                <w:i/>
                <w:iCs/>
                <w:color w:val="000000"/>
                <w:sz w:val="16"/>
                <w:szCs w:val="16"/>
                <w:u w:val="none"/>
              </w:rPr>
            </w:pPr>
          </w:p>
        </w:tc>
      </w:tr>
      <w:tr w14:paraId="6981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3368E">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A6D07">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6F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可持续影响指标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DA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近期工作规划</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50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9E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提升基层行政执法能力</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F5C9">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E9DA">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FB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D9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647F">
            <w:pPr>
              <w:jc w:val="center"/>
              <w:rPr>
                <w:rFonts w:hint="eastAsia" w:ascii="微软雅黑" w:hAnsi="微软雅黑" w:eastAsia="微软雅黑" w:cs="微软雅黑"/>
                <w:i/>
                <w:iCs/>
                <w:color w:val="000000"/>
                <w:sz w:val="16"/>
                <w:szCs w:val="16"/>
                <w:u w:val="none"/>
              </w:rPr>
            </w:pPr>
          </w:p>
        </w:tc>
      </w:tr>
      <w:tr w14:paraId="4C58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E312F">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93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F5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D0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C1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B4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A0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D132">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14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71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FDC5">
            <w:pPr>
              <w:jc w:val="center"/>
              <w:rPr>
                <w:rFonts w:hint="eastAsia" w:ascii="微软雅黑" w:hAnsi="微软雅黑" w:eastAsia="微软雅黑" w:cs="微软雅黑"/>
                <w:i/>
                <w:iCs/>
                <w:color w:val="000000"/>
                <w:sz w:val="16"/>
                <w:szCs w:val="16"/>
                <w:u w:val="none"/>
              </w:rPr>
            </w:pPr>
          </w:p>
        </w:tc>
      </w:tr>
      <w:tr w14:paraId="65BF3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36773">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0C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F6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15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3E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89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3560632.9</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A4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5B26">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34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671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59F0">
            <w:pPr>
              <w:jc w:val="center"/>
              <w:rPr>
                <w:rFonts w:hint="eastAsia" w:ascii="微软雅黑" w:hAnsi="微软雅黑" w:eastAsia="微软雅黑" w:cs="微软雅黑"/>
                <w:i/>
                <w:iCs/>
                <w:color w:val="000000"/>
                <w:sz w:val="16"/>
                <w:szCs w:val="16"/>
                <w:u w:val="none"/>
              </w:rPr>
            </w:pPr>
          </w:p>
        </w:tc>
      </w:tr>
      <w:tr w14:paraId="3D551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5B47B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01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5BCE">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BA26">
            <w:pPr>
              <w:rPr>
                <w:rFonts w:hint="eastAsia" w:ascii="宋体" w:hAnsi="宋体" w:eastAsia="宋体" w:cs="宋体"/>
                <w:i w:val="0"/>
                <w:iCs w:val="0"/>
                <w:color w:val="000000"/>
                <w:sz w:val="16"/>
                <w:szCs w:val="16"/>
                <w:u w:val="none"/>
              </w:rPr>
            </w:pPr>
          </w:p>
        </w:tc>
      </w:tr>
      <w:tr w14:paraId="0BBD1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60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673B0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该项目的实施能助推各级各部门各企事业单位全面履行安全生产职责，发挥企业抓好安全生产工作的主观能动性，推动降低和减少安全事故发生，切实保障人民群众生命财产安全。</w:t>
            </w:r>
          </w:p>
        </w:tc>
      </w:tr>
      <w:tr w14:paraId="253F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A8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1A361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因客观原因造成预算执行缓慢</w:t>
            </w:r>
          </w:p>
        </w:tc>
      </w:tr>
      <w:tr w14:paraId="6D57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5B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B6F62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加快项目推进进度，早日实现绩效目标。</w:t>
            </w:r>
          </w:p>
        </w:tc>
      </w:tr>
      <w:tr w14:paraId="2CD5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CEC3E5">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18B78C">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w:t>
            </w:r>
          </w:p>
        </w:tc>
      </w:tr>
      <w:tr w14:paraId="6EC62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11552EE8">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26E38D64">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1CF935D9">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1C3F62C5">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1784A52B">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2922BC5D">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600A3E76">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5BF7CF32">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75A7A211">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540B6BEB">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7C3BB7E5">
            <w:pPr>
              <w:rPr>
                <w:rFonts w:hint="eastAsia" w:ascii="宋体" w:hAnsi="宋体" w:eastAsia="宋体" w:cs="宋体"/>
                <w:i w:val="0"/>
                <w:iCs w:val="0"/>
                <w:color w:val="000000"/>
                <w:sz w:val="16"/>
                <w:szCs w:val="16"/>
                <w:u w:val="none"/>
              </w:rPr>
            </w:pPr>
          </w:p>
        </w:tc>
      </w:tr>
      <w:tr w14:paraId="6422C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F3CC37">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6BDA0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EB97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D9ED2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51090022T000007338509-中央自然灾害防治体系建设补助资金（风险普查）</w:t>
            </w:r>
          </w:p>
        </w:tc>
      </w:tr>
      <w:tr w14:paraId="1008C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90C3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716B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6AB4B3DD">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7CD1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296C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FD24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0156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5399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04B8FB">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0DDDF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8559F">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51FC3">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3FB50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通过灾害风险进行评估和分析，可以帮助决策者采取预防措施，减少灾害对人员和财产造成损失。</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7005DA">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按照省普查办要求已于相关时间节点完成任务。</w:t>
            </w:r>
          </w:p>
        </w:tc>
      </w:tr>
      <w:tr w14:paraId="0EBED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A981">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B480">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B4BA9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数据验收并上传省级部门经过数据汇交后，根据省普查办下发的各类报告经市普查办三次组织相关部门和各县区专家根据遂宁市实际情况最终形成遂宁市评估与区划综合报告。</w:t>
            </w:r>
          </w:p>
        </w:tc>
      </w:tr>
      <w:tr w14:paraId="4D73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9EF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81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6A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56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7A1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6E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AA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EFF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A8F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40BC9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832D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1A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F71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8C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3E0C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78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82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BD9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6FE4F">
            <w:pPr>
              <w:rPr>
                <w:rFonts w:hint="eastAsia" w:ascii="黑体" w:hAnsi="黑体" w:eastAsia="黑体" w:cs="黑体"/>
                <w:i/>
                <w:iCs/>
                <w:color w:val="000000"/>
                <w:sz w:val="16"/>
                <w:szCs w:val="16"/>
                <w:u w:val="none"/>
              </w:rPr>
            </w:pPr>
          </w:p>
        </w:tc>
      </w:tr>
      <w:tr w14:paraId="135BF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0DAA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6FC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99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6F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2DB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00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F8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EA5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2548D">
            <w:pPr>
              <w:rPr>
                <w:rFonts w:hint="eastAsia" w:ascii="黑体" w:hAnsi="黑体" w:eastAsia="黑体" w:cs="黑体"/>
                <w:i/>
                <w:iCs/>
                <w:color w:val="000000"/>
                <w:sz w:val="16"/>
                <w:szCs w:val="16"/>
                <w:u w:val="none"/>
              </w:rPr>
            </w:pPr>
          </w:p>
        </w:tc>
      </w:tr>
      <w:tr w14:paraId="724E8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B560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78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CE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2D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8FB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DE1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F5C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4A3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B08E4">
            <w:pPr>
              <w:rPr>
                <w:rFonts w:hint="eastAsia" w:ascii="黑体" w:hAnsi="黑体" w:eastAsia="黑体" w:cs="黑体"/>
                <w:i/>
                <w:iCs/>
                <w:color w:val="000000"/>
                <w:sz w:val="16"/>
                <w:szCs w:val="16"/>
                <w:u w:val="none"/>
              </w:rPr>
            </w:pPr>
          </w:p>
        </w:tc>
      </w:tr>
      <w:tr w14:paraId="4FC4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B3D57">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65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91E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41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7CA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15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C7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B9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D10A5">
            <w:pPr>
              <w:rPr>
                <w:rFonts w:hint="eastAsia" w:ascii="黑体" w:hAnsi="黑体" w:eastAsia="黑体" w:cs="黑体"/>
                <w:i/>
                <w:iCs/>
                <w:color w:val="000000"/>
                <w:sz w:val="16"/>
                <w:szCs w:val="16"/>
                <w:u w:val="none"/>
              </w:rPr>
            </w:pPr>
          </w:p>
        </w:tc>
      </w:tr>
      <w:tr w14:paraId="3A566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B40A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E43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24B7">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2826">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2AFAE">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1E94">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A4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E9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730FB">
            <w:pPr>
              <w:rPr>
                <w:rFonts w:hint="eastAsia" w:ascii="黑体" w:hAnsi="黑体" w:eastAsia="黑体" w:cs="黑体"/>
                <w:i/>
                <w:iCs/>
                <w:color w:val="000000"/>
                <w:sz w:val="16"/>
                <w:szCs w:val="16"/>
                <w:u w:val="none"/>
              </w:rPr>
            </w:pPr>
          </w:p>
        </w:tc>
      </w:tr>
      <w:tr w14:paraId="22523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F6C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CCA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72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A8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E2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6C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01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F3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11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00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101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63C95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4981">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D1D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1B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4A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普查数据</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9B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8E1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13879</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55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FA6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6D7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3FA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D0F9">
            <w:pPr>
              <w:jc w:val="center"/>
              <w:rPr>
                <w:rFonts w:hint="eastAsia" w:ascii="微软雅黑" w:hAnsi="微软雅黑" w:eastAsia="微软雅黑" w:cs="微软雅黑"/>
                <w:i/>
                <w:iCs/>
                <w:color w:val="000000"/>
                <w:sz w:val="16"/>
                <w:szCs w:val="16"/>
                <w:u w:val="none"/>
              </w:rPr>
            </w:pPr>
          </w:p>
        </w:tc>
      </w:tr>
      <w:tr w14:paraId="4AC80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40F91">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754B8">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51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21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高质量完成风险普查</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13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A6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5E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263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42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E7F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ADFD">
            <w:pPr>
              <w:jc w:val="center"/>
              <w:rPr>
                <w:rFonts w:hint="eastAsia" w:ascii="微软雅黑" w:hAnsi="微软雅黑" w:eastAsia="微软雅黑" w:cs="微软雅黑"/>
                <w:i/>
                <w:iCs/>
                <w:color w:val="000000"/>
                <w:sz w:val="16"/>
                <w:szCs w:val="16"/>
                <w:u w:val="none"/>
              </w:rPr>
            </w:pPr>
          </w:p>
        </w:tc>
      </w:tr>
      <w:tr w14:paraId="3FC2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C7BC">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AEC85">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DC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B7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完成时效</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51D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5D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A8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B8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AD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12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9D43">
            <w:pPr>
              <w:jc w:val="center"/>
              <w:rPr>
                <w:rFonts w:hint="eastAsia" w:ascii="微软雅黑" w:hAnsi="微软雅黑" w:eastAsia="微软雅黑" w:cs="微软雅黑"/>
                <w:i/>
                <w:iCs/>
                <w:color w:val="000000"/>
                <w:sz w:val="16"/>
                <w:szCs w:val="16"/>
                <w:u w:val="none"/>
              </w:rPr>
            </w:pPr>
          </w:p>
        </w:tc>
      </w:tr>
      <w:tr w14:paraId="69F53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4ED40">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BEF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14C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DA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减少人员伤亡和财产损失</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04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15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AF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467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7B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F8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BA9E">
            <w:pPr>
              <w:jc w:val="center"/>
              <w:rPr>
                <w:rFonts w:hint="eastAsia" w:ascii="微软雅黑" w:hAnsi="微软雅黑" w:eastAsia="微软雅黑" w:cs="微软雅黑"/>
                <w:i/>
                <w:iCs/>
                <w:color w:val="000000"/>
                <w:sz w:val="16"/>
                <w:szCs w:val="16"/>
                <w:u w:val="none"/>
              </w:rPr>
            </w:pPr>
          </w:p>
        </w:tc>
      </w:tr>
      <w:tr w14:paraId="207B0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3DC7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6D438">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6EB9D">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C4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、提供公众安全意识</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3A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30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EF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5A5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07E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E2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CDA0">
            <w:pPr>
              <w:jc w:val="center"/>
              <w:rPr>
                <w:rFonts w:hint="eastAsia" w:ascii="微软雅黑" w:hAnsi="微软雅黑" w:eastAsia="微软雅黑" w:cs="微软雅黑"/>
                <w:i/>
                <w:iCs/>
                <w:color w:val="000000"/>
                <w:sz w:val="16"/>
                <w:szCs w:val="16"/>
                <w:u w:val="none"/>
              </w:rPr>
            </w:pPr>
          </w:p>
        </w:tc>
      </w:tr>
      <w:tr w14:paraId="0BF3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05100">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45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8E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80E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社会公众满意度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8A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53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8C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C56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DC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3F8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90A1">
            <w:pPr>
              <w:jc w:val="center"/>
              <w:rPr>
                <w:rFonts w:hint="eastAsia" w:ascii="微软雅黑" w:hAnsi="微软雅黑" w:eastAsia="微软雅黑" w:cs="微软雅黑"/>
                <w:i/>
                <w:iCs/>
                <w:color w:val="000000"/>
                <w:sz w:val="16"/>
                <w:szCs w:val="16"/>
                <w:u w:val="none"/>
              </w:rPr>
            </w:pPr>
          </w:p>
        </w:tc>
      </w:tr>
      <w:tr w14:paraId="5D53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761F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AA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FAE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73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CA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9E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D8B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C5A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C5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50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D256">
            <w:pPr>
              <w:jc w:val="center"/>
              <w:rPr>
                <w:rFonts w:hint="eastAsia" w:ascii="微软雅黑" w:hAnsi="微软雅黑" w:eastAsia="微软雅黑" w:cs="微软雅黑"/>
                <w:i/>
                <w:iCs/>
                <w:color w:val="000000"/>
                <w:sz w:val="16"/>
                <w:szCs w:val="16"/>
                <w:u w:val="none"/>
              </w:rPr>
            </w:pPr>
          </w:p>
        </w:tc>
      </w:tr>
      <w:tr w14:paraId="3B7A7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CCE7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63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9EAE">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BB44">
            <w:pPr>
              <w:rPr>
                <w:rFonts w:hint="eastAsia" w:ascii="宋体" w:hAnsi="宋体" w:eastAsia="宋体" w:cs="宋体"/>
                <w:i w:val="0"/>
                <w:iCs w:val="0"/>
                <w:color w:val="000000"/>
                <w:sz w:val="16"/>
                <w:szCs w:val="16"/>
                <w:u w:val="none"/>
              </w:rPr>
            </w:pPr>
          </w:p>
        </w:tc>
      </w:tr>
      <w:tr w14:paraId="198E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55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6C3D8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按照中省相关文件要求高效完成相关工作。</w:t>
            </w:r>
          </w:p>
        </w:tc>
      </w:tr>
      <w:tr w14:paraId="16DB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D61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8FEE4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0542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B9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EAD81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AE4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848FE1">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项目负责人：姚云林</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CB3725">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53BB8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035A6FE1">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04470CC8">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3E8CE186">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68760E45">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377B3DD1">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0FAACC9B">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1A48E1CC">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37AA9486">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610F22D0">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41233DB3">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0E43D4BC">
            <w:pPr>
              <w:rPr>
                <w:rFonts w:hint="eastAsia" w:ascii="宋体" w:hAnsi="宋体" w:eastAsia="宋体" w:cs="宋体"/>
                <w:i w:val="0"/>
                <w:iCs w:val="0"/>
                <w:color w:val="000000"/>
                <w:sz w:val="16"/>
                <w:szCs w:val="16"/>
                <w:u w:val="none"/>
              </w:rPr>
            </w:pPr>
          </w:p>
        </w:tc>
      </w:tr>
      <w:tr w14:paraId="07BCE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184321A5">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52101ED3">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742BECE6">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35345100">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3BE308E6">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0EA1995B">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4D7F77ED">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6101984E">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32A7ACC6">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2E0564BF">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212DC4D4">
            <w:pPr>
              <w:rPr>
                <w:rFonts w:hint="eastAsia" w:ascii="宋体" w:hAnsi="宋体" w:eastAsia="宋体" w:cs="宋体"/>
                <w:i w:val="0"/>
                <w:iCs w:val="0"/>
                <w:color w:val="000000"/>
                <w:sz w:val="16"/>
                <w:szCs w:val="16"/>
                <w:u w:val="none"/>
              </w:rPr>
            </w:pPr>
          </w:p>
        </w:tc>
      </w:tr>
      <w:tr w14:paraId="10F6E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7BA63D">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13E2E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BCCB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A962A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51090023T000009571026-2022年安全生产隐患排查先进单位奖补资金</w:t>
            </w:r>
          </w:p>
        </w:tc>
      </w:tr>
      <w:tr w14:paraId="0CA2A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B7E3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A022C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1C69319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B11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3060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3FBF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72A4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ABAE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10B7F0">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4148F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85C4C">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2CFB0">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A0778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安全生产隐患排查治理工作先进单位奖补资金</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D65D9D">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对照年度目标，说明相关任务目标的完成情况（100字以内）</w:t>
            </w:r>
          </w:p>
        </w:tc>
      </w:tr>
      <w:tr w14:paraId="3440E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04A3">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D25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1E0A7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为安全生产隐患排除通过综合保障</w:t>
            </w:r>
          </w:p>
        </w:tc>
      </w:tr>
      <w:tr w14:paraId="26DB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ED4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21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80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82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7E4E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B6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49E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AE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59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451F5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C65F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39C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4AD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25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D03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7A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16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6A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8AF9E">
            <w:pPr>
              <w:rPr>
                <w:rFonts w:hint="eastAsia" w:ascii="黑体" w:hAnsi="黑体" w:eastAsia="黑体" w:cs="黑体"/>
                <w:i/>
                <w:iCs/>
                <w:color w:val="000000"/>
                <w:sz w:val="16"/>
                <w:szCs w:val="16"/>
                <w:u w:val="none"/>
              </w:rPr>
            </w:pPr>
          </w:p>
        </w:tc>
      </w:tr>
      <w:tr w14:paraId="5B604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0A15">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636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72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12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9BE1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1C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06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A3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640DE">
            <w:pPr>
              <w:rPr>
                <w:rFonts w:hint="eastAsia" w:ascii="黑体" w:hAnsi="黑体" w:eastAsia="黑体" w:cs="黑体"/>
                <w:i/>
                <w:iCs/>
                <w:color w:val="000000"/>
                <w:sz w:val="16"/>
                <w:szCs w:val="16"/>
                <w:u w:val="none"/>
              </w:rPr>
            </w:pPr>
          </w:p>
        </w:tc>
      </w:tr>
      <w:tr w14:paraId="6E602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D6FA3">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EF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EA0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E1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75E0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DAC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E49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BA3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0F9E5">
            <w:pPr>
              <w:rPr>
                <w:rFonts w:hint="eastAsia" w:ascii="黑体" w:hAnsi="黑体" w:eastAsia="黑体" w:cs="黑体"/>
                <w:i/>
                <w:iCs/>
                <w:color w:val="000000"/>
                <w:sz w:val="16"/>
                <w:szCs w:val="16"/>
                <w:u w:val="none"/>
              </w:rPr>
            </w:pPr>
          </w:p>
        </w:tc>
      </w:tr>
      <w:tr w14:paraId="408C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1963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72F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CD9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72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4B53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C8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27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46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AC968">
            <w:pPr>
              <w:rPr>
                <w:rFonts w:hint="eastAsia" w:ascii="黑体" w:hAnsi="黑体" w:eastAsia="黑体" w:cs="黑体"/>
                <w:i/>
                <w:iCs/>
                <w:color w:val="000000"/>
                <w:sz w:val="16"/>
                <w:szCs w:val="16"/>
                <w:u w:val="none"/>
              </w:rPr>
            </w:pPr>
          </w:p>
        </w:tc>
      </w:tr>
      <w:tr w14:paraId="76B1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D806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68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63A7">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107E">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73260">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ECDC">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7C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27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D7E1C">
            <w:pPr>
              <w:rPr>
                <w:rFonts w:hint="eastAsia" w:ascii="黑体" w:hAnsi="黑体" w:eastAsia="黑体" w:cs="黑体"/>
                <w:i/>
                <w:iCs/>
                <w:color w:val="000000"/>
                <w:sz w:val="16"/>
                <w:szCs w:val="16"/>
                <w:u w:val="none"/>
              </w:rPr>
            </w:pPr>
          </w:p>
        </w:tc>
      </w:tr>
      <w:tr w14:paraId="4676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F7D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E7C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07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3E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2F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10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BC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8E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A2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5DB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AA5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4D9AE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AD6B0">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707E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F1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2B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高质量完成奖励资金</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94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F4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B1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AC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C6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19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A49">
            <w:pPr>
              <w:jc w:val="center"/>
              <w:rPr>
                <w:rFonts w:hint="eastAsia" w:ascii="微软雅黑" w:hAnsi="微软雅黑" w:eastAsia="微软雅黑" w:cs="微软雅黑"/>
                <w:i/>
                <w:iCs/>
                <w:color w:val="000000"/>
                <w:sz w:val="16"/>
                <w:szCs w:val="16"/>
                <w:u w:val="none"/>
              </w:rPr>
            </w:pPr>
          </w:p>
        </w:tc>
      </w:tr>
      <w:tr w14:paraId="1411B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CB106">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A4967">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C8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E1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2023年完成</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C6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EF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35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21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7C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E0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1ACA">
            <w:pPr>
              <w:jc w:val="center"/>
              <w:rPr>
                <w:rFonts w:hint="eastAsia" w:ascii="微软雅黑" w:hAnsi="微软雅黑" w:eastAsia="微软雅黑" w:cs="微软雅黑"/>
                <w:i/>
                <w:iCs/>
                <w:color w:val="000000"/>
                <w:sz w:val="16"/>
                <w:szCs w:val="16"/>
                <w:u w:val="none"/>
              </w:rPr>
            </w:pPr>
          </w:p>
        </w:tc>
      </w:tr>
      <w:tr w14:paraId="2095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DAAF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A4A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24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394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社会效益率提高</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C0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9D6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A7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638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F4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2F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399D">
            <w:pPr>
              <w:jc w:val="center"/>
              <w:rPr>
                <w:rFonts w:hint="eastAsia" w:ascii="微软雅黑" w:hAnsi="微软雅黑" w:eastAsia="微软雅黑" w:cs="微软雅黑"/>
                <w:i/>
                <w:iCs/>
                <w:color w:val="000000"/>
                <w:sz w:val="16"/>
                <w:szCs w:val="16"/>
                <w:u w:val="none"/>
              </w:rPr>
            </w:pPr>
          </w:p>
        </w:tc>
      </w:tr>
      <w:tr w14:paraId="14E57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2BAA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E6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57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9DE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满意度值班</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45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D7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2A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CE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15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19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616C">
            <w:pPr>
              <w:jc w:val="center"/>
              <w:rPr>
                <w:rFonts w:hint="eastAsia" w:ascii="微软雅黑" w:hAnsi="微软雅黑" w:eastAsia="微软雅黑" w:cs="微软雅黑"/>
                <w:i/>
                <w:iCs/>
                <w:color w:val="000000"/>
                <w:sz w:val="16"/>
                <w:szCs w:val="16"/>
                <w:u w:val="none"/>
              </w:rPr>
            </w:pPr>
          </w:p>
        </w:tc>
      </w:tr>
      <w:tr w14:paraId="6ABD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FC3B3">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E9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E64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E1F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成本控制在预算范围内</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72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824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19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3A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D8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C35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5F30">
            <w:pPr>
              <w:jc w:val="center"/>
              <w:rPr>
                <w:rFonts w:hint="eastAsia" w:ascii="微软雅黑" w:hAnsi="微软雅黑" w:eastAsia="微软雅黑" w:cs="微软雅黑"/>
                <w:i/>
                <w:iCs/>
                <w:color w:val="000000"/>
                <w:sz w:val="16"/>
                <w:szCs w:val="16"/>
                <w:u w:val="none"/>
              </w:rPr>
            </w:pPr>
          </w:p>
        </w:tc>
      </w:tr>
      <w:tr w14:paraId="32C4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4EC4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EC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59A2">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A0E7">
            <w:pPr>
              <w:rPr>
                <w:rFonts w:hint="eastAsia" w:ascii="宋体" w:hAnsi="宋体" w:eastAsia="宋体" w:cs="宋体"/>
                <w:i w:val="0"/>
                <w:iCs w:val="0"/>
                <w:color w:val="000000"/>
                <w:sz w:val="16"/>
                <w:szCs w:val="16"/>
                <w:u w:val="none"/>
              </w:rPr>
            </w:pPr>
          </w:p>
        </w:tc>
      </w:tr>
      <w:tr w14:paraId="2F4E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14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800C1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该项目为2023年安全生产隐患排查治理工作提供了有力的资金保障</w:t>
            </w:r>
          </w:p>
        </w:tc>
      </w:tr>
      <w:tr w14:paraId="3ED2D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15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E0C72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CD22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5CC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6C534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5F5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3770BE">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900D5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w:t>
            </w:r>
          </w:p>
        </w:tc>
      </w:tr>
      <w:tr w14:paraId="4E55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2AC852D6">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7935E044">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0E27198E">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7D5A4B52">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3CB55770">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611DEEE3">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4EB70F37">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53C2D0FC">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78B03EB9">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26B6FCC8">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13871DDD">
            <w:pPr>
              <w:rPr>
                <w:rFonts w:hint="eastAsia" w:ascii="宋体" w:hAnsi="宋体" w:eastAsia="宋体" w:cs="宋体"/>
                <w:i w:val="0"/>
                <w:iCs w:val="0"/>
                <w:color w:val="000000"/>
                <w:sz w:val="16"/>
                <w:szCs w:val="16"/>
                <w:u w:val="none"/>
              </w:rPr>
            </w:pPr>
          </w:p>
        </w:tc>
      </w:tr>
      <w:tr w14:paraId="1263F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9BE9FA">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5C42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F831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34EF2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51090023T000009769407-</w:t>
            </w:r>
            <w:bookmarkStart w:id="88" w:name="OLE_LINK2"/>
            <w:r>
              <w:rPr>
                <w:rFonts w:ascii="宋体" w:hAnsi="宋体" w:eastAsia="宋体" w:cs="宋体"/>
                <w:i w:val="0"/>
                <w:iCs w:val="0"/>
                <w:color w:val="000000"/>
                <w:kern w:val="0"/>
                <w:sz w:val="16"/>
                <w:szCs w:val="16"/>
                <w:u w:val="none"/>
                <w:lang w:val="en-US" w:eastAsia="zh-CN" w:bidi="ar"/>
              </w:rPr>
              <w:t>消防装备提升项目</w:t>
            </w:r>
            <w:bookmarkEnd w:id="88"/>
            <w:r>
              <w:rPr>
                <w:rFonts w:ascii="宋体" w:hAnsi="宋体" w:eastAsia="宋体" w:cs="宋体"/>
                <w:i w:val="0"/>
                <w:iCs w:val="0"/>
                <w:color w:val="000000"/>
                <w:kern w:val="0"/>
                <w:sz w:val="16"/>
                <w:szCs w:val="16"/>
                <w:u w:val="none"/>
                <w:lang w:val="en-US" w:eastAsia="zh-CN" w:bidi="ar"/>
              </w:rPr>
              <w:t>（2023年新增一般债券）</w:t>
            </w:r>
          </w:p>
        </w:tc>
      </w:tr>
      <w:tr w14:paraId="3F036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E1B7E">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87375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3324A043">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51C7D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69C64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2A1F4">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CB00B">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24097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1F4649">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0180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0B2A2">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606C">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62D880">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综合提升我市消防救援能力</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4ED982">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对照年度目标，说明相关任务目标的完成情况（100字以内）</w:t>
            </w:r>
          </w:p>
        </w:tc>
      </w:tr>
      <w:tr w14:paraId="71E66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A1B1F">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E5A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85781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本项目通过政府招投标进行采购，目前已支付第一笔款项，</w:t>
            </w:r>
          </w:p>
        </w:tc>
      </w:tr>
      <w:tr w14:paraId="2866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F3E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B87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C7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7D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5E00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B95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E16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D7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EB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50FE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93EB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D7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6E8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17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800.00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75FB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233.28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88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A7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F8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6275A">
            <w:pPr>
              <w:keepNext w:val="0"/>
              <w:keepLines w:val="0"/>
              <w:widowControl/>
              <w:suppressLineNumbers w:val="0"/>
              <w:jc w:val="left"/>
              <w:textAlignment w:val="center"/>
              <w:rPr>
                <w:rFonts w:hint="eastAsia" w:ascii="黑体" w:hAnsi="黑体" w:eastAsia="黑体" w:cs="黑体"/>
                <w:i/>
                <w:iCs/>
                <w:color w:val="000000"/>
                <w:sz w:val="16"/>
                <w:szCs w:val="16"/>
                <w:u w:val="none"/>
              </w:rPr>
            </w:pPr>
            <w:r>
              <w:rPr>
                <w:rFonts w:hint="eastAsia" w:ascii="黑体" w:hAnsi="黑体" w:eastAsia="黑体" w:cs="黑体"/>
                <w:i/>
                <w:iCs/>
                <w:color w:val="000000"/>
                <w:kern w:val="0"/>
                <w:sz w:val="16"/>
                <w:szCs w:val="16"/>
                <w:u w:val="none"/>
                <w:lang w:val="en-US" w:eastAsia="zh-CN" w:bidi="ar"/>
              </w:rPr>
              <w:t>该项目为2023年11月开始，完成时间1年，预计2024年6月之前完成交付验收</w:t>
            </w:r>
          </w:p>
        </w:tc>
      </w:tr>
      <w:tr w14:paraId="15EF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7C454">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6E1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7D8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48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800.00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8E90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233.28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8D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F92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BEE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AE634">
            <w:pPr>
              <w:rPr>
                <w:rFonts w:hint="eastAsia" w:ascii="黑体" w:hAnsi="黑体" w:eastAsia="黑体" w:cs="黑体"/>
                <w:i/>
                <w:iCs/>
                <w:color w:val="000000"/>
                <w:sz w:val="16"/>
                <w:szCs w:val="16"/>
                <w:u w:val="none"/>
              </w:rPr>
            </w:pPr>
          </w:p>
        </w:tc>
      </w:tr>
      <w:tr w14:paraId="3D735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A0FD">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1A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87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7C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D3EB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7F9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D9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6D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ECF0C">
            <w:pPr>
              <w:rPr>
                <w:rFonts w:hint="eastAsia" w:ascii="黑体" w:hAnsi="黑体" w:eastAsia="黑体" w:cs="黑体"/>
                <w:i/>
                <w:iCs/>
                <w:color w:val="000000"/>
                <w:sz w:val="16"/>
                <w:szCs w:val="16"/>
                <w:u w:val="none"/>
              </w:rPr>
            </w:pPr>
          </w:p>
        </w:tc>
      </w:tr>
      <w:tr w14:paraId="71CF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AA4C">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49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6C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20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05D9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8DA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C6B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FF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7C632">
            <w:pPr>
              <w:rPr>
                <w:rFonts w:hint="eastAsia" w:ascii="黑体" w:hAnsi="黑体" w:eastAsia="黑体" w:cs="黑体"/>
                <w:i/>
                <w:iCs/>
                <w:color w:val="000000"/>
                <w:sz w:val="16"/>
                <w:szCs w:val="16"/>
                <w:u w:val="none"/>
              </w:rPr>
            </w:pPr>
          </w:p>
        </w:tc>
      </w:tr>
      <w:tr w14:paraId="15C3F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C445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CC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A188">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F5D7">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13B576">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6639">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F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FCB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D29D">
            <w:pPr>
              <w:rPr>
                <w:rFonts w:hint="eastAsia" w:ascii="黑体" w:hAnsi="黑体" w:eastAsia="黑体" w:cs="黑体"/>
                <w:i/>
                <w:iCs/>
                <w:color w:val="000000"/>
                <w:sz w:val="16"/>
                <w:szCs w:val="16"/>
                <w:u w:val="none"/>
              </w:rPr>
            </w:pPr>
          </w:p>
        </w:tc>
      </w:tr>
      <w:tr w14:paraId="50396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B2D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77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4D9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EAF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07D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777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1F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2E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2E9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DD2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B3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071B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56A7B">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C314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963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AC8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购置居高喷射消防车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30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E8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B56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辆</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B3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8BA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3B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4FE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29B1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307ED">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43A26">
            <w:pPr>
              <w:jc w:val="center"/>
              <w:rPr>
                <w:rFonts w:hint="eastAsia" w:ascii="宋体" w:hAnsi="宋体" w:eastAsia="宋体" w:cs="宋体"/>
                <w:i w:val="0"/>
                <w:iCs w:val="0"/>
                <w:color w:val="000000"/>
                <w:sz w:val="16"/>
                <w:szCs w:val="16"/>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71748">
            <w:pPr>
              <w:jc w:val="center"/>
              <w:rPr>
                <w:rFonts w:hint="eastAsia" w:ascii="宋体" w:hAnsi="宋体" w:eastAsia="宋体" w:cs="宋体"/>
                <w:i w:val="0"/>
                <w:iCs w:val="0"/>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86A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完成消防提升工程建设</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AD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BEC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5B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44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7C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C00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E3E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7864A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BE47B">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BAF6C">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F39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8A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采购时效</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A9F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24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D2E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4E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49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B0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025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17930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C28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1E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D1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可持续发展指标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91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完成防火灭火和应急救援工作</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DB7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AEB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23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0A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7E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C8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F9E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3AFA3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4908F">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8B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E1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E40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消防员满意度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2F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AA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E6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D4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FF6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B3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69A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32ACE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82770">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73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19E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16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21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C6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32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万元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00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29.16%</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A18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5F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4FA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48D20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4A53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91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2141">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9FE0">
            <w:pPr>
              <w:rPr>
                <w:rFonts w:hint="eastAsia" w:ascii="宋体" w:hAnsi="宋体" w:eastAsia="宋体" w:cs="宋体"/>
                <w:i w:val="0"/>
                <w:iCs w:val="0"/>
                <w:color w:val="000000"/>
                <w:sz w:val="16"/>
                <w:szCs w:val="16"/>
                <w:u w:val="none"/>
              </w:rPr>
            </w:pPr>
          </w:p>
        </w:tc>
      </w:tr>
      <w:tr w14:paraId="4C5C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347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21E03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该项目为2023年11月开始，完成时间1年，预计2024年6月之前完成交付验收</w:t>
            </w:r>
          </w:p>
        </w:tc>
      </w:tr>
      <w:tr w14:paraId="7621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0D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24094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EC5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F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CBD33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263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A78C05">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项目负责人：任雯靖</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E8035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3EF04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77FCB5B4">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60B924CB">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7C33FF56">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72995740">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5740A548">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0FFD458A">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1AA12D96">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55065CB6">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3FC1B441">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39A8E281">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77B91C71">
            <w:pPr>
              <w:rPr>
                <w:rFonts w:hint="eastAsia" w:ascii="宋体" w:hAnsi="宋体" w:eastAsia="宋体" w:cs="宋体"/>
                <w:i w:val="0"/>
                <w:iCs w:val="0"/>
                <w:color w:val="000000"/>
                <w:sz w:val="16"/>
                <w:szCs w:val="16"/>
                <w:u w:val="none"/>
              </w:rPr>
            </w:pPr>
          </w:p>
        </w:tc>
      </w:tr>
      <w:tr w14:paraId="732A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0C8C0A">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3403E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11756">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854338">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51090023T000009871272-应急指挥中心及应急管理信息化项目</w:t>
            </w:r>
          </w:p>
        </w:tc>
      </w:tr>
      <w:tr w14:paraId="419D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A12A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1CB2B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69EB8448">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B409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4C766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EE293">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6761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0B836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BA41CE">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1574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D80B3">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058F2">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B6065F">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构建”统一指挥、专常兼备、反</w:t>
            </w:r>
            <w:r>
              <w:rPr>
                <w:rFonts w:hint="eastAsia" w:ascii="宋体" w:hAnsi="宋体" w:cs="宋体"/>
                <w:i w:val="0"/>
                <w:iCs w:val="0"/>
                <w:color w:val="000000"/>
                <w:kern w:val="0"/>
                <w:sz w:val="16"/>
                <w:szCs w:val="16"/>
                <w:u w:val="none"/>
                <w:lang w:val="en-US" w:eastAsia="zh-CN" w:bidi="ar"/>
              </w:rPr>
              <w:t>应</w:t>
            </w:r>
            <w:r>
              <w:rPr>
                <w:rFonts w:ascii="宋体" w:hAnsi="宋体" w:eastAsia="宋体" w:cs="宋体"/>
                <w:i w:val="0"/>
                <w:iCs w:val="0"/>
                <w:color w:val="000000"/>
                <w:kern w:val="0"/>
                <w:sz w:val="16"/>
                <w:szCs w:val="16"/>
                <w:u w:val="none"/>
                <w:lang w:val="en-US" w:eastAsia="zh-CN" w:bidi="ar"/>
              </w:rPr>
              <w:t>灵敏、上下联动、平战结合“的现代化应急管理体制机制。</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7AA0F3">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对照年度目标，说明相关任务目标的完成情况（100字以内）</w:t>
            </w:r>
          </w:p>
        </w:tc>
      </w:tr>
      <w:tr w14:paraId="619E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24BCD">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D0E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E41A57">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本项目通过政府招投标进行项目采购，建设移动指挥中心，提升我市指挥协调、救灾处置能力。</w:t>
            </w:r>
          </w:p>
        </w:tc>
      </w:tr>
      <w:tr w14:paraId="7023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F0A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B4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006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AB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A143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DC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E15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0CC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842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7572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7211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AF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48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EAB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40.25</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625C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40.25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E7E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0A7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99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6B9F9">
            <w:pPr>
              <w:rPr>
                <w:rFonts w:hint="eastAsia" w:ascii="黑体" w:hAnsi="黑体" w:eastAsia="黑体" w:cs="黑体"/>
                <w:i/>
                <w:iCs/>
                <w:color w:val="000000"/>
                <w:sz w:val="16"/>
                <w:szCs w:val="16"/>
                <w:u w:val="none"/>
              </w:rPr>
            </w:pPr>
          </w:p>
        </w:tc>
      </w:tr>
      <w:tr w14:paraId="5CF3A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D7D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6A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4B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72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40.25</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1272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40.25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20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41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0B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03B94">
            <w:pPr>
              <w:rPr>
                <w:rFonts w:hint="eastAsia" w:ascii="黑体" w:hAnsi="黑体" w:eastAsia="黑体" w:cs="黑体"/>
                <w:i/>
                <w:iCs/>
                <w:color w:val="000000"/>
                <w:sz w:val="16"/>
                <w:szCs w:val="16"/>
                <w:u w:val="none"/>
              </w:rPr>
            </w:pPr>
          </w:p>
        </w:tc>
      </w:tr>
      <w:tr w14:paraId="189DB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44959">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6E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55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08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0D6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828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42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B1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E252">
            <w:pPr>
              <w:rPr>
                <w:rFonts w:hint="eastAsia" w:ascii="黑体" w:hAnsi="黑体" w:eastAsia="黑体" w:cs="黑体"/>
                <w:i/>
                <w:iCs/>
                <w:color w:val="000000"/>
                <w:sz w:val="16"/>
                <w:szCs w:val="16"/>
                <w:u w:val="none"/>
              </w:rPr>
            </w:pPr>
          </w:p>
        </w:tc>
      </w:tr>
      <w:tr w14:paraId="0D41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82732">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3E3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C1E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24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6E8E8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7F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615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C51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A88C">
            <w:pPr>
              <w:rPr>
                <w:rFonts w:hint="eastAsia" w:ascii="黑体" w:hAnsi="黑体" w:eastAsia="黑体" w:cs="黑体"/>
                <w:i/>
                <w:iCs/>
                <w:color w:val="000000"/>
                <w:sz w:val="16"/>
                <w:szCs w:val="16"/>
                <w:u w:val="none"/>
              </w:rPr>
            </w:pPr>
          </w:p>
        </w:tc>
      </w:tr>
      <w:tr w14:paraId="7658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DAC83">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989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8B7E">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2C2F">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1E358D">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A241">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F37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D32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A34CC">
            <w:pPr>
              <w:rPr>
                <w:rFonts w:hint="eastAsia" w:ascii="黑体" w:hAnsi="黑体" w:eastAsia="黑体" w:cs="黑体"/>
                <w:i/>
                <w:iCs/>
                <w:color w:val="000000"/>
                <w:sz w:val="16"/>
                <w:szCs w:val="16"/>
                <w:u w:val="none"/>
              </w:rPr>
            </w:pPr>
          </w:p>
        </w:tc>
      </w:tr>
      <w:tr w14:paraId="1C620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84333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85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AA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F0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7C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74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9B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ADA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DAF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83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697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2189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64D4B">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E418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8DF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A9C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移动指挥中心建设</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85B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1BF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78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E78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AF1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A8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104E">
            <w:pPr>
              <w:jc w:val="center"/>
              <w:rPr>
                <w:rFonts w:hint="eastAsia" w:ascii="微软雅黑" w:hAnsi="微软雅黑" w:eastAsia="微软雅黑" w:cs="微软雅黑"/>
                <w:i/>
                <w:iCs/>
                <w:color w:val="000000"/>
                <w:sz w:val="16"/>
                <w:szCs w:val="16"/>
                <w:u w:val="none"/>
              </w:rPr>
            </w:pPr>
          </w:p>
        </w:tc>
      </w:tr>
      <w:tr w14:paraId="23E54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0F9CF">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15F1">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870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F1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高质量交付采购项目、质量完成率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423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B1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B6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337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72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E3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63BA">
            <w:pPr>
              <w:jc w:val="center"/>
              <w:rPr>
                <w:rFonts w:hint="eastAsia" w:ascii="微软雅黑" w:hAnsi="微软雅黑" w:eastAsia="微软雅黑" w:cs="微软雅黑"/>
                <w:i/>
                <w:iCs/>
                <w:color w:val="000000"/>
                <w:sz w:val="16"/>
                <w:szCs w:val="16"/>
                <w:u w:val="none"/>
              </w:rPr>
            </w:pPr>
          </w:p>
        </w:tc>
      </w:tr>
      <w:tr w14:paraId="3488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3F2B0">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A74A8">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4D1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时效指标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FE8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完成时效</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D6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09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84C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D67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38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A2F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D5F3">
            <w:pPr>
              <w:jc w:val="center"/>
              <w:rPr>
                <w:rFonts w:hint="eastAsia" w:ascii="微软雅黑" w:hAnsi="微软雅黑" w:eastAsia="微软雅黑" w:cs="微软雅黑"/>
                <w:i/>
                <w:iCs/>
                <w:color w:val="000000"/>
                <w:sz w:val="16"/>
                <w:szCs w:val="16"/>
                <w:u w:val="none"/>
              </w:rPr>
            </w:pPr>
          </w:p>
        </w:tc>
      </w:tr>
      <w:tr w14:paraId="63571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5C426">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B04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6B2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2E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提升我市指挥协调、救灾处置能力</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57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E2D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0B3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CE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9B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3D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1632">
            <w:pPr>
              <w:jc w:val="center"/>
              <w:rPr>
                <w:rFonts w:hint="eastAsia" w:ascii="微软雅黑" w:hAnsi="微软雅黑" w:eastAsia="微软雅黑" w:cs="微软雅黑"/>
                <w:i/>
                <w:iCs/>
                <w:color w:val="000000"/>
                <w:sz w:val="16"/>
                <w:szCs w:val="16"/>
                <w:u w:val="none"/>
              </w:rPr>
            </w:pPr>
          </w:p>
        </w:tc>
      </w:tr>
      <w:tr w14:paraId="484F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7A8E5">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28A85">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252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可持续发展指标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CBA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持续提升我市指挥协调、应急处置能力</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FF2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8B8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43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A72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78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07A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939E">
            <w:pPr>
              <w:jc w:val="center"/>
              <w:rPr>
                <w:rFonts w:hint="eastAsia" w:ascii="微软雅黑" w:hAnsi="微软雅黑" w:eastAsia="微软雅黑" w:cs="微软雅黑"/>
                <w:i/>
                <w:iCs/>
                <w:color w:val="000000"/>
                <w:sz w:val="16"/>
                <w:szCs w:val="16"/>
                <w:u w:val="none"/>
              </w:rPr>
            </w:pPr>
          </w:p>
        </w:tc>
      </w:tr>
      <w:tr w14:paraId="1354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33586">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CEE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68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2F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BB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0E6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68D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8FD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29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F99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87AA">
            <w:pPr>
              <w:jc w:val="center"/>
              <w:rPr>
                <w:rFonts w:hint="eastAsia" w:ascii="微软雅黑" w:hAnsi="微软雅黑" w:eastAsia="微软雅黑" w:cs="微软雅黑"/>
                <w:i/>
                <w:iCs/>
                <w:color w:val="000000"/>
                <w:sz w:val="16"/>
                <w:szCs w:val="16"/>
                <w:u w:val="none"/>
              </w:rPr>
            </w:pPr>
          </w:p>
        </w:tc>
      </w:tr>
      <w:tr w14:paraId="0FF7E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525F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A22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82C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454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D91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E5C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402539.8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9F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F23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89F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26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F94C">
            <w:pPr>
              <w:jc w:val="center"/>
              <w:rPr>
                <w:rFonts w:hint="eastAsia" w:ascii="微软雅黑" w:hAnsi="微软雅黑" w:eastAsia="微软雅黑" w:cs="微软雅黑"/>
                <w:i/>
                <w:iCs/>
                <w:color w:val="000000"/>
                <w:sz w:val="16"/>
                <w:szCs w:val="16"/>
                <w:u w:val="none"/>
              </w:rPr>
            </w:pPr>
          </w:p>
        </w:tc>
      </w:tr>
      <w:tr w14:paraId="1641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651823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9E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3903">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298A">
            <w:pPr>
              <w:rPr>
                <w:rFonts w:hint="eastAsia" w:ascii="宋体" w:hAnsi="宋体" w:eastAsia="宋体" w:cs="宋体"/>
                <w:i w:val="0"/>
                <w:iCs w:val="0"/>
                <w:color w:val="000000"/>
                <w:sz w:val="16"/>
                <w:szCs w:val="16"/>
                <w:u w:val="none"/>
              </w:rPr>
            </w:pPr>
          </w:p>
        </w:tc>
      </w:tr>
      <w:tr w14:paraId="5199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FC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C7EE1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自评得分10分，通过应急指挥中心及应急管理信息化项目提升了我市指挥协调、救灾处置能力，严格落实24小时领导带班和专人值守工作制度，强化重点时段、敏感节点值班值守、信息报送等工作部署，切实把应急值守政治责任牢牢扛在肩上、抓在手上、落在实处，共成功接报处置全市各类突发事件315起，做到信息迟报、误报、瞒报、漏报等“零发生”。</w:t>
            </w:r>
          </w:p>
        </w:tc>
      </w:tr>
      <w:tr w14:paraId="1FF98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DF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14F77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3B3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2B1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5A28A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6FD7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9F13A7">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项目负责人：杨祖国</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2961FD">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r w14:paraId="3A92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tcBorders>
              <w:top w:val="nil"/>
              <w:left w:val="nil"/>
              <w:bottom w:val="nil"/>
              <w:right w:val="nil"/>
            </w:tcBorders>
            <w:shd w:val="clear" w:color="auto" w:fill="auto"/>
            <w:vAlign w:val="center"/>
          </w:tcPr>
          <w:p w14:paraId="372C4909">
            <w:pPr>
              <w:rPr>
                <w:rFonts w:hint="eastAsia" w:ascii="宋体" w:hAnsi="宋体" w:eastAsia="宋体" w:cs="宋体"/>
                <w:i w:val="0"/>
                <w:iCs w:val="0"/>
                <w:color w:val="000000"/>
                <w:sz w:val="16"/>
                <w:szCs w:val="16"/>
                <w:u w:val="none"/>
              </w:rPr>
            </w:pPr>
          </w:p>
        </w:tc>
        <w:tc>
          <w:tcPr>
            <w:tcW w:w="1585" w:type="dxa"/>
            <w:tcBorders>
              <w:top w:val="nil"/>
              <w:left w:val="nil"/>
              <w:bottom w:val="nil"/>
              <w:right w:val="nil"/>
            </w:tcBorders>
            <w:shd w:val="clear" w:color="auto" w:fill="auto"/>
            <w:vAlign w:val="center"/>
          </w:tcPr>
          <w:p w14:paraId="3C432672">
            <w:pPr>
              <w:rPr>
                <w:rFonts w:hint="eastAsia" w:ascii="宋体" w:hAnsi="宋体" w:eastAsia="宋体" w:cs="宋体"/>
                <w:i w:val="0"/>
                <w:iCs w:val="0"/>
                <w:color w:val="000000"/>
                <w:sz w:val="16"/>
                <w:szCs w:val="16"/>
                <w:u w:val="none"/>
              </w:rPr>
            </w:pPr>
          </w:p>
        </w:tc>
        <w:tc>
          <w:tcPr>
            <w:tcW w:w="1411" w:type="dxa"/>
            <w:tcBorders>
              <w:top w:val="nil"/>
              <w:left w:val="nil"/>
              <w:bottom w:val="nil"/>
              <w:right w:val="nil"/>
            </w:tcBorders>
            <w:shd w:val="clear" w:color="auto" w:fill="auto"/>
            <w:vAlign w:val="center"/>
          </w:tcPr>
          <w:p w14:paraId="13B0031C">
            <w:pPr>
              <w:rPr>
                <w:rFonts w:hint="eastAsia" w:ascii="宋体" w:hAnsi="宋体" w:eastAsia="宋体" w:cs="宋体"/>
                <w:i w:val="0"/>
                <w:iCs w:val="0"/>
                <w:color w:val="000000"/>
                <w:sz w:val="16"/>
                <w:szCs w:val="16"/>
                <w:u w:val="none"/>
              </w:rPr>
            </w:pPr>
          </w:p>
        </w:tc>
        <w:tc>
          <w:tcPr>
            <w:tcW w:w="1777" w:type="dxa"/>
            <w:tcBorders>
              <w:top w:val="nil"/>
              <w:left w:val="nil"/>
              <w:bottom w:val="nil"/>
              <w:right w:val="nil"/>
            </w:tcBorders>
            <w:shd w:val="clear" w:color="auto" w:fill="auto"/>
            <w:vAlign w:val="center"/>
          </w:tcPr>
          <w:p w14:paraId="5AAECFDE">
            <w:pPr>
              <w:rPr>
                <w:rFonts w:hint="eastAsia" w:ascii="宋体" w:hAnsi="宋体" w:eastAsia="宋体" w:cs="宋体"/>
                <w:i w:val="0"/>
                <w:iCs w:val="0"/>
                <w:color w:val="000000"/>
                <w:sz w:val="16"/>
                <w:szCs w:val="16"/>
                <w:u w:val="none"/>
              </w:rPr>
            </w:pPr>
          </w:p>
        </w:tc>
        <w:tc>
          <w:tcPr>
            <w:tcW w:w="516" w:type="dxa"/>
            <w:tcBorders>
              <w:top w:val="nil"/>
              <w:left w:val="nil"/>
              <w:bottom w:val="nil"/>
              <w:right w:val="nil"/>
            </w:tcBorders>
            <w:shd w:val="clear" w:color="auto" w:fill="auto"/>
            <w:vAlign w:val="center"/>
          </w:tcPr>
          <w:p w14:paraId="6E8162EC">
            <w:pPr>
              <w:rPr>
                <w:rFonts w:hint="eastAsia" w:ascii="宋体" w:hAnsi="宋体" w:eastAsia="宋体" w:cs="宋体"/>
                <w:i w:val="0"/>
                <w:iCs w:val="0"/>
                <w:color w:val="000000"/>
                <w:sz w:val="16"/>
                <w:szCs w:val="16"/>
                <w:u w:val="none"/>
              </w:rPr>
            </w:pPr>
          </w:p>
        </w:tc>
        <w:tc>
          <w:tcPr>
            <w:tcW w:w="1016" w:type="dxa"/>
            <w:tcBorders>
              <w:top w:val="nil"/>
              <w:left w:val="nil"/>
              <w:bottom w:val="nil"/>
              <w:right w:val="nil"/>
            </w:tcBorders>
            <w:shd w:val="clear" w:color="auto" w:fill="auto"/>
            <w:vAlign w:val="center"/>
          </w:tcPr>
          <w:p w14:paraId="47639C12">
            <w:pPr>
              <w:rPr>
                <w:rFonts w:hint="eastAsia" w:ascii="宋体" w:hAnsi="宋体" w:eastAsia="宋体" w:cs="宋体"/>
                <w:i w:val="0"/>
                <w:iCs w:val="0"/>
                <w:color w:val="000000"/>
                <w:sz w:val="16"/>
                <w:szCs w:val="16"/>
                <w:u w:val="none"/>
              </w:rPr>
            </w:pPr>
          </w:p>
        </w:tc>
        <w:tc>
          <w:tcPr>
            <w:tcW w:w="696" w:type="dxa"/>
            <w:tcBorders>
              <w:top w:val="nil"/>
              <w:left w:val="nil"/>
              <w:bottom w:val="nil"/>
              <w:right w:val="nil"/>
            </w:tcBorders>
            <w:shd w:val="clear" w:color="auto" w:fill="auto"/>
            <w:vAlign w:val="center"/>
          </w:tcPr>
          <w:p w14:paraId="15ACBA21">
            <w:pPr>
              <w:rPr>
                <w:rFonts w:hint="eastAsia" w:ascii="宋体" w:hAnsi="宋体" w:eastAsia="宋体" w:cs="宋体"/>
                <w:i w:val="0"/>
                <w:iCs w:val="0"/>
                <w:color w:val="000000"/>
                <w:sz w:val="16"/>
                <w:szCs w:val="16"/>
                <w:u w:val="none"/>
              </w:rPr>
            </w:pPr>
          </w:p>
        </w:tc>
        <w:tc>
          <w:tcPr>
            <w:tcW w:w="1076" w:type="dxa"/>
            <w:tcBorders>
              <w:top w:val="nil"/>
              <w:left w:val="nil"/>
              <w:bottom w:val="nil"/>
              <w:right w:val="nil"/>
            </w:tcBorders>
            <w:shd w:val="clear" w:color="auto" w:fill="auto"/>
            <w:vAlign w:val="center"/>
          </w:tcPr>
          <w:p w14:paraId="50CEF597">
            <w:pPr>
              <w:rPr>
                <w:rFonts w:hint="eastAsia" w:ascii="宋体" w:hAnsi="宋体" w:eastAsia="宋体" w:cs="宋体"/>
                <w:i w:val="0"/>
                <w:iCs w:val="0"/>
                <w:color w:val="000000"/>
                <w:sz w:val="16"/>
                <w:szCs w:val="16"/>
                <w:u w:val="none"/>
              </w:rPr>
            </w:pPr>
          </w:p>
        </w:tc>
        <w:tc>
          <w:tcPr>
            <w:tcW w:w="507" w:type="dxa"/>
            <w:tcBorders>
              <w:top w:val="nil"/>
              <w:left w:val="nil"/>
              <w:bottom w:val="nil"/>
              <w:right w:val="nil"/>
            </w:tcBorders>
            <w:shd w:val="clear" w:color="auto" w:fill="auto"/>
            <w:vAlign w:val="center"/>
          </w:tcPr>
          <w:p w14:paraId="4B99564E">
            <w:pPr>
              <w:rPr>
                <w:rFonts w:hint="eastAsia" w:ascii="宋体" w:hAnsi="宋体" w:eastAsia="宋体" w:cs="宋体"/>
                <w:i w:val="0"/>
                <w:iCs w:val="0"/>
                <w:color w:val="000000"/>
                <w:sz w:val="16"/>
                <w:szCs w:val="16"/>
                <w:u w:val="none"/>
              </w:rPr>
            </w:pPr>
          </w:p>
        </w:tc>
        <w:tc>
          <w:tcPr>
            <w:tcW w:w="456" w:type="dxa"/>
            <w:tcBorders>
              <w:top w:val="nil"/>
              <w:left w:val="nil"/>
              <w:bottom w:val="nil"/>
              <w:right w:val="nil"/>
            </w:tcBorders>
            <w:shd w:val="clear" w:color="auto" w:fill="auto"/>
            <w:vAlign w:val="center"/>
          </w:tcPr>
          <w:p w14:paraId="2FF5FF41">
            <w:pPr>
              <w:rPr>
                <w:rFonts w:hint="eastAsia" w:ascii="宋体" w:hAnsi="宋体" w:eastAsia="宋体" w:cs="宋体"/>
                <w:i w:val="0"/>
                <w:iCs w:val="0"/>
                <w:color w:val="000000"/>
                <w:sz w:val="16"/>
                <w:szCs w:val="16"/>
                <w:u w:val="none"/>
              </w:rPr>
            </w:pPr>
          </w:p>
        </w:tc>
        <w:tc>
          <w:tcPr>
            <w:tcW w:w="1254" w:type="dxa"/>
            <w:tcBorders>
              <w:top w:val="nil"/>
              <w:left w:val="nil"/>
              <w:bottom w:val="nil"/>
              <w:right w:val="nil"/>
            </w:tcBorders>
            <w:shd w:val="clear" w:color="auto" w:fill="auto"/>
            <w:vAlign w:val="center"/>
          </w:tcPr>
          <w:p w14:paraId="4C65E405">
            <w:pPr>
              <w:rPr>
                <w:rFonts w:hint="eastAsia" w:ascii="宋体" w:hAnsi="宋体" w:eastAsia="宋体" w:cs="宋体"/>
                <w:i w:val="0"/>
                <w:iCs w:val="0"/>
                <w:color w:val="000000"/>
                <w:sz w:val="16"/>
                <w:szCs w:val="16"/>
                <w:u w:val="none"/>
              </w:rPr>
            </w:pPr>
          </w:p>
        </w:tc>
      </w:tr>
      <w:tr w14:paraId="4BBC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09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D2C2F6">
            <w:pPr>
              <w:keepNext w:val="0"/>
              <w:keepLines w:val="0"/>
              <w:widowControl/>
              <w:suppressLineNumbers w:val="0"/>
              <w:jc w:val="center"/>
              <w:textAlignment w:val="center"/>
              <w:rPr>
                <w:rFonts w:hint="eastAsia" w:ascii="黑体" w:hAnsi="宋体" w:eastAsia="黑体" w:cs="黑体"/>
                <w:b/>
                <w:bCs/>
                <w:i w:val="0"/>
                <w:iCs w:val="0"/>
                <w:color w:val="000000"/>
                <w:sz w:val="16"/>
                <w:szCs w:val="16"/>
                <w:u w:val="none"/>
              </w:rPr>
            </w:pPr>
            <w:r>
              <w:rPr>
                <w:rFonts w:hint="eastAsia" w:ascii="黑体" w:hAnsi="宋体" w:eastAsia="黑体" w:cs="黑体"/>
                <w:b/>
                <w:bCs/>
                <w:i w:val="0"/>
                <w:iCs w:val="0"/>
                <w:color w:val="000000"/>
                <w:kern w:val="0"/>
                <w:sz w:val="16"/>
                <w:szCs w:val="16"/>
                <w:u w:val="none"/>
                <w:lang w:val="en-US" w:eastAsia="zh-CN" w:bidi="ar"/>
              </w:rPr>
              <w:t>部门预算项目支出绩效自评表（2023年度）</w:t>
            </w:r>
          </w:p>
        </w:tc>
      </w:tr>
      <w:tr w14:paraId="1BDF8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3BF8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项目名称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9CB4A1">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51090023T000009923756-遂宁市应急指挥中心平台建成及基础环境改造建设</w:t>
            </w:r>
          </w:p>
        </w:tc>
      </w:tr>
      <w:tr w14:paraId="44FB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4692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主管部门</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97E89D">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遂宁市应急管理局部门</w:t>
            </w:r>
          </w:p>
        </w:tc>
        <w:tc>
          <w:tcPr>
            <w:tcW w:w="1076" w:type="dxa"/>
            <w:tcBorders>
              <w:top w:val="nil"/>
              <w:left w:val="nil"/>
              <w:bottom w:val="nil"/>
              <w:right w:val="nil"/>
            </w:tcBorders>
            <w:shd w:val="clear" w:color="auto" w:fill="auto"/>
            <w:vAlign w:val="center"/>
          </w:tcPr>
          <w:p w14:paraId="40E69CCB">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实施单位 （盖章）</w:t>
            </w:r>
          </w:p>
        </w:tc>
        <w:tc>
          <w:tcPr>
            <w:tcW w:w="22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7DCC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遂宁市应急管理局</w:t>
            </w:r>
          </w:p>
        </w:tc>
      </w:tr>
      <w:tr w14:paraId="198D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02722">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项目基本情况</w:t>
            </w: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7F9C5">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1.项目年度目标完成情况</w:t>
            </w: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BEE3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项目年度目标</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5CF9ED">
            <w:pPr>
              <w:keepNext w:val="0"/>
              <w:keepLines w:val="0"/>
              <w:widowControl/>
              <w:suppressLineNumbers w:val="0"/>
              <w:jc w:val="center"/>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年度目标完成情况</w:t>
            </w:r>
          </w:p>
        </w:tc>
      </w:tr>
      <w:tr w14:paraId="5C6C0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4730">
            <w:pP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41D05">
            <w:pPr>
              <w:rPr>
                <w:rFonts w:hint="eastAsia" w:ascii="宋体" w:hAnsi="宋体" w:eastAsia="宋体" w:cs="宋体"/>
                <w:i w:val="0"/>
                <w:iCs w:val="0"/>
                <w:color w:val="000000"/>
                <w:sz w:val="16"/>
                <w:szCs w:val="16"/>
                <w:u w:val="none"/>
              </w:rPr>
            </w:pPr>
          </w:p>
        </w:tc>
        <w:tc>
          <w:tcPr>
            <w:tcW w:w="54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D77659">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建成纵向联通、横向互通的应急管理信息化指挥体系和设备先进、保障有力、反</w:t>
            </w:r>
            <w:r>
              <w:rPr>
                <w:rFonts w:hint="eastAsia" w:ascii="宋体" w:hAnsi="宋体" w:cs="宋体"/>
                <w:i w:val="0"/>
                <w:iCs w:val="0"/>
                <w:color w:val="000000"/>
                <w:kern w:val="0"/>
                <w:sz w:val="16"/>
                <w:szCs w:val="16"/>
                <w:u w:val="none"/>
                <w:lang w:val="en-US" w:eastAsia="zh-CN" w:bidi="ar"/>
              </w:rPr>
              <w:t>应</w:t>
            </w:r>
            <w:bookmarkStart w:id="116" w:name="_GoBack"/>
            <w:bookmarkEnd w:id="116"/>
            <w:r>
              <w:rPr>
                <w:rFonts w:ascii="宋体" w:hAnsi="宋体" w:eastAsia="宋体" w:cs="宋体"/>
                <w:i w:val="0"/>
                <w:iCs w:val="0"/>
                <w:color w:val="000000"/>
                <w:kern w:val="0"/>
                <w:sz w:val="16"/>
                <w:szCs w:val="16"/>
                <w:u w:val="none"/>
                <w:lang w:val="en-US" w:eastAsia="zh-CN" w:bidi="ar"/>
              </w:rPr>
              <w:t>灵敏的应急指挥场所。</w:t>
            </w:r>
          </w:p>
        </w:tc>
        <w:tc>
          <w:tcPr>
            <w:tcW w:w="32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1D61B2">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建成了纵向联通、横向互通的应急管理信息化指挥体系和设备先进、保障有力、反应敏的应急指挥场所。</w:t>
            </w:r>
          </w:p>
        </w:tc>
      </w:tr>
      <w:tr w14:paraId="50E29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C8BF">
            <w:pP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FA1C">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2.项目实施内容及过程概述</w:t>
            </w:r>
          </w:p>
        </w:tc>
        <w:tc>
          <w:tcPr>
            <w:tcW w:w="870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B64A6A">
            <w:pPr>
              <w:keepNext w:val="0"/>
              <w:keepLines w:val="0"/>
              <w:widowControl/>
              <w:suppressLineNumbers w:val="0"/>
              <w:jc w:val="lef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本项目按照国家有关管理规定、工程管理有关法规和程序，实施项目法人制、工程招投标制和施工监理制。项目全过程按照国家有关规定，委托有资质的咨询、设计、监理公司，通过招投标对项目的工程勘察设计、建筑施工、材料、设备采购等进行全过程管理，以确保项目进度、工程质量和工程投资的有效控制和项目的顺利建设。</w:t>
            </w:r>
          </w:p>
        </w:tc>
      </w:tr>
      <w:tr w14:paraId="747F7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AEA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预算执行情况（10分）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C4A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年度预算数（万元）</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B4C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年初预算</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52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调整后预算数</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C46F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A2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预算执行率</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C44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6B9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26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原因</w:t>
            </w:r>
          </w:p>
        </w:tc>
      </w:tr>
      <w:tr w14:paraId="6C4B0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61A9A">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8F7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总额</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940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DFC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150.78</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B9A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150.78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41E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AD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AA6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E3864">
            <w:pPr>
              <w:rPr>
                <w:rFonts w:hint="eastAsia" w:ascii="黑体" w:hAnsi="黑体" w:eastAsia="黑体" w:cs="黑体"/>
                <w:i/>
                <w:iCs/>
                <w:color w:val="000000"/>
                <w:sz w:val="16"/>
                <w:szCs w:val="16"/>
                <w:u w:val="none"/>
              </w:rPr>
            </w:pPr>
          </w:p>
        </w:tc>
      </w:tr>
      <w:tr w14:paraId="7304B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6AB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83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其中：财政资金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5F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B1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150.78</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983BC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150.78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C1F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697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04B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4363A">
            <w:pPr>
              <w:rPr>
                <w:rFonts w:hint="eastAsia" w:ascii="黑体" w:hAnsi="黑体" w:eastAsia="黑体" w:cs="黑体"/>
                <w:i/>
                <w:iCs/>
                <w:color w:val="000000"/>
                <w:sz w:val="16"/>
                <w:szCs w:val="16"/>
                <w:u w:val="none"/>
              </w:rPr>
            </w:pPr>
          </w:p>
        </w:tc>
      </w:tr>
      <w:tr w14:paraId="4B86F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895F">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1C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财政专户管理资金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80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A33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EC2DC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26F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0D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AD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85F6A">
            <w:pPr>
              <w:rPr>
                <w:rFonts w:hint="eastAsia" w:ascii="黑体" w:hAnsi="黑体" w:eastAsia="黑体" w:cs="黑体"/>
                <w:i/>
                <w:iCs/>
                <w:color w:val="000000"/>
                <w:sz w:val="16"/>
                <w:szCs w:val="16"/>
                <w:u w:val="none"/>
              </w:rPr>
            </w:pPr>
          </w:p>
        </w:tc>
      </w:tr>
      <w:tr w14:paraId="2C7CC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4E851">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4FD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单位资金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43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EC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2DC86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0F0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EE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62D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EA9DB">
            <w:pPr>
              <w:rPr>
                <w:rFonts w:hint="eastAsia" w:ascii="黑体" w:hAnsi="黑体" w:eastAsia="黑体" w:cs="黑体"/>
                <w:i/>
                <w:iCs/>
                <w:color w:val="000000"/>
                <w:sz w:val="16"/>
                <w:szCs w:val="16"/>
                <w:u w:val="none"/>
              </w:rPr>
            </w:pPr>
          </w:p>
        </w:tc>
      </w:tr>
      <w:tr w14:paraId="08762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7F00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14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其他资金</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2ABB">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BBFB">
            <w:pPr>
              <w:jc w:val="center"/>
              <w:rPr>
                <w:rFonts w:hint="eastAsia" w:ascii="微软雅黑" w:hAnsi="微软雅黑" w:eastAsia="微软雅黑" w:cs="微软雅黑"/>
                <w:i/>
                <w:iCs/>
                <w:color w:val="000000"/>
                <w:sz w:val="16"/>
                <w:szCs w:val="16"/>
                <w:u w:val="none"/>
              </w:rPr>
            </w:pPr>
          </w:p>
        </w:tc>
        <w:tc>
          <w:tcPr>
            <w:tcW w:w="22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397AEB">
            <w:pPr>
              <w:jc w:val="center"/>
              <w:rPr>
                <w:rFonts w:hint="eastAsia" w:ascii="微软雅黑" w:hAnsi="微软雅黑" w:eastAsia="微软雅黑" w:cs="微软雅黑"/>
                <w:i/>
                <w:iCs/>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052B">
            <w:pPr>
              <w:jc w:val="center"/>
              <w:rPr>
                <w:rFonts w:hint="eastAsia" w:ascii="微软雅黑" w:hAnsi="微软雅黑" w:eastAsia="微软雅黑" w:cs="微软雅黑"/>
                <w:i/>
                <w:iCs/>
                <w:color w:val="000000"/>
                <w:sz w:val="16"/>
                <w:szCs w:val="16"/>
                <w:u w:val="none"/>
              </w:rPr>
            </w:pP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AE3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2AA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CD1D0">
            <w:pPr>
              <w:rPr>
                <w:rFonts w:hint="eastAsia" w:ascii="黑体" w:hAnsi="黑体" w:eastAsia="黑体" w:cs="黑体"/>
                <w:i/>
                <w:iCs/>
                <w:color w:val="000000"/>
                <w:sz w:val="16"/>
                <w:szCs w:val="16"/>
                <w:u w:val="none"/>
              </w:rPr>
            </w:pPr>
          </w:p>
        </w:tc>
      </w:tr>
      <w:tr w14:paraId="79732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83D59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绩效指标（90分）</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C5E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F7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3D0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4F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026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235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7A4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B6F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A0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0BB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未完成原因分析</w:t>
            </w:r>
          </w:p>
        </w:tc>
      </w:tr>
      <w:tr w14:paraId="0F2F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A22C6">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7702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产出指标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D5D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数量指标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6FE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项目建设细化</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482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E1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FD1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项</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807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87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75C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277E">
            <w:pPr>
              <w:jc w:val="center"/>
              <w:rPr>
                <w:rFonts w:hint="eastAsia" w:ascii="微软雅黑" w:hAnsi="微软雅黑" w:eastAsia="微软雅黑" w:cs="微软雅黑"/>
                <w:i/>
                <w:iCs/>
                <w:color w:val="000000"/>
                <w:sz w:val="16"/>
                <w:szCs w:val="16"/>
                <w:u w:val="none"/>
              </w:rPr>
            </w:pPr>
          </w:p>
        </w:tc>
      </w:tr>
      <w:tr w14:paraId="41A5A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7478E">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BD239">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BB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质量指标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763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符合信息化项目建设相关质量要求</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953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84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2603">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E74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B4B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D22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5B86">
            <w:pPr>
              <w:jc w:val="center"/>
              <w:rPr>
                <w:rFonts w:hint="eastAsia" w:ascii="微软雅黑" w:hAnsi="微软雅黑" w:eastAsia="微软雅黑" w:cs="微软雅黑"/>
                <w:i/>
                <w:iCs/>
                <w:color w:val="000000"/>
                <w:sz w:val="16"/>
                <w:szCs w:val="16"/>
                <w:u w:val="none"/>
              </w:rPr>
            </w:pPr>
          </w:p>
        </w:tc>
      </w:tr>
      <w:tr w14:paraId="15C49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88CCF">
            <w:pPr>
              <w:jc w:val="center"/>
              <w:rPr>
                <w:rFonts w:hint="eastAsia" w:ascii="宋体" w:hAnsi="宋体" w:eastAsia="宋体" w:cs="宋体"/>
                <w:i w:val="0"/>
                <w:iCs w:val="0"/>
                <w:color w:val="000000"/>
                <w:sz w:val="16"/>
                <w:szCs w:val="16"/>
                <w:u w:val="none"/>
              </w:rPr>
            </w:pPr>
          </w:p>
        </w:tc>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6679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效益指标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57B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社会效益指标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54B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提升应急管理现代化综合能力</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6C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F81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477E">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F80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45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E15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20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8BC1">
            <w:pPr>
              <w:jc w:val="center"/>
              <w:rPr>
                <w:rFonts w:hint="eastAsia" w:ascii="微软雅黑" w:hAnsi="微软雅黑" w:eastAsia="微软雅黑" w:cs="微软雅黑"/>
                <w:i/>
                <w:iCs/>
                <w:color w:val="000000"/>
                <w:sz w:val="16"/>
                <w:szCs w:val="16"/>
                <w:u w:val="none"/>
              </w:rPr>
            </w:pPr>
          </w:p>
        </w:tc>
      </w:tr>
      <w:tr w14:paraId="0838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EBAE1">
            <w:pPr>
              <w:jc w:val="center"/>
              <w:rPr>
                <w:rFonts w:hint="eastAsia" w:ascii="宋体" w:hAnsi="宋体" w:eastAsia="宋体" w:cs="宋体"/>
                <w:i w:val="0"/>
                <w:iCs w:val="0"/>
                <w:color w:val="000000"/>
                <w:sz w:val="16"/>
                <w:szCs w:val="16"/>
                <w:u w:val="none"/>
              </w:rPr>
            </w:pPr>
          </w:p>
        </w:tc>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DB1A7">
            <w:pPr>
              <w:jc w:val="center"/>
              <w:rPr>
                <w:rFonts w:hint="eastAsia" w:ascii="宋体" w:hAnsi="宋体" w:eastAsia="宋体" w:cs="宋体"/>
                <w:i w:val="0"/>
                <w:iCs w:val="0"/>
                <w:color w:val="000000"/>
                <w:sz w:val="16"/>
                <w:szCs w:val="16"/>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7EC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可持续发展指标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5C9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政策与资金支持长期</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064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5D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优</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8387">
            <w:pPr>
              <w:jc w:val="center"/>
              <w:rPr>
                <w:rFonts w:hint="eastAsia" w:ascii="宋体" w:hAnsi="宋体" w:eastAsia="宋体" w:cs="宋体"/>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0B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BCA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C1E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2C17">
            <w:pPr>
              <w:jc w:val="center"/>
              <w:rPr>
                <w:rFonts w:hint="eastAsia" w:ascii="微软雅黑" w:hAnsi="微软雅黑" w:eastAsia="微软雅黑" w:cs="微软雅黑"/>
                <w:i/>
                <w:iCs/>
                <w:color w:val="000000"/>
                <w:sz w:val="16"/>
                <w:szCs w:val="16"/>
                <w:u w:val="none"/>
              </w:rPr>
            </w:pPr>
          </w:p>
        </w:tc>
      </w:tr>
      <w:tr w14:paraId="4FE4F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30D08">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FC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满意度指标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3EB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服务对象满意度指标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B46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应急系统满意度</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334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AC5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90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8AA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4A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3CC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7C6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88C8">
            <w:pPr>
              <w:jc w:val="center"/>
              <w:rPr>
                <w:rFonts w:hint="eastAsia" w:ascii="微软雅黑" w:hAnsi="微软雅黑" w:eastAsia="微软雅黑" w:cs="微软雅黑"/>
                <w:i/>
                <w:iCs/>
                <w:color w:val="000000"/>
                <w:sz w:val="16"/>
                <w:szCs w:val="16"/>
                <w:u w:val="none"/>
              </w:rPr>
            </w:pPr>
          </w:p>
        </w:tc>
      </w:tr>
      <w:tr w14:paraId="2B91A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632B">
            <w:pPr>
              <w:jc w:val="center"/>
              <w:rPr>
                <w:rFonts w:hint="eastAsia" w:ascii="宋体" w:hAnsi="宋体" w:eastAsia="宋体" w:cs="宋体"/>
                <w:i w:val="0"/>
                <w:iCs w:val="0"/>
                <w:color w:val="000000"/>
                <w:sz w:val="16"/>
                <w:szCs w:val="16"/>
                <w:u w:val="none"/>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86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成本指标</w:t>
            </w: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A3D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经济成本指标</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E09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成本控制</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41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34A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1507847.03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CF2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D59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100.00%</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814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CA5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85DE">
            <w:pPr>
              <w:jc w:val="center"/>
              <w:rPr>
                <w:rFonts w:hint="eastAsia" w:ascii="微软雅黑" w:hAnsi="微软雅黑" w:eastAsia="微软雅黑" w:cs="微软雅黑"/>
                <w:i/>
                <w:iCs/>
                <w:color w:val="000000"/>
                <w:sz w:val="16"/>
                <w:szCs w:val="16"/>
                <w:u w:val="none"/>
              </w:rPr>
            </w:pPr>
          </w:p>
        </w:tc>
      </w:tr>
      <w:tr w14:paraId="7BB02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58CB9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合计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0C3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125A">
            <w:pPr>
              <w:keepNext w:val="0"/>
              <w:keepLines w:val="0"/>
              <w:widowControl/>
              <w:suppressLineNumbers w:val="0"/>
              <w:jc w:val="right"/>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6AC0">
            <w:pPr>
              <w:rPr>
                <w:rFonts w:hint="eastAsia" w:ascii="宋体" w:hAnsi="宋体" w:eastAsia="宋体" w:cs="宋体"/>
                <w:i w:val="0"/>
                <w:iCs w:val="0"/>
                <w:color w:val="000000"/>
                <w:sz w:val="16"/>
                <w:szCs w:val="16"/>
                <w:u w:val="none"/>
              </w:rPr>
            </w:pPr>
          </w:p>
        </w:tc>
      </w:tr>
      <w:tr w14:paraId="51C04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150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评价结论</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AAAB6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本项目自评得分100分，本项目严格按照预算绩效管理制度执行，全面提升我市应急指挥保障能力。</w:t>
            </w:r>
          </w:p>
        </w:tc>
      </w:tr>
      <w:tr w14:paraId="0FFC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A0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存在问题</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B13ED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C047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32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改进措施</w:t>
            </w:r>
          </w:p>
        </w:tc>
        <w:tc>
          <w:tcPr>
            <w:tcW w:w="1029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A50A6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5A5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0F0E3E">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项目负责人：陈剑锋</w:t>
            </w:r>
          </w:p>
        </w:tc>
        <w:tc>
          <w:tcPr>
            <w:tcW w:w="50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B1609E">
            <w:pPr>
              <w:keepNext w:val="0"/>
              <w:keepLines w:val="0"/>
              <w:widowControl/>
              <w:suppressLineNumbers w:val="0"/>
              <w:jc w:val="left"/>
              <w:textAlignment w:val="center"/>
              <w:rPr>
                <w:rFonts w:hint="eastAsia" w:ascii="黑体" w:hAnsi="黑体" w:eastAsia="黑体" w:cs="黑体"/>
                <w:i w:val="0"/>
                <w:iCs w:val="0"/>
                <w:color w:val="000000"/>
                <w:sz w:val="16"/>
                <w:szCs w:val="16"/>
                <w:u w:val="none"/>
              </w:rPr>
            </w:pPr>
            <w:r>
              <w:rPr>
                <w:rFonts w:hint="eastAsia" w:ascii="黑体" w:hAnsi="黑体" w:eastAsia="黑体" w:cs="黑体"/>
                <w:i w:val="0"/>
                <w:iCs w:val="0"/>
                <w:color w:val="000000"/>
                <w:kern w:val="0"/>
                <w:sz w:val="16"/>
                <w:szCs w:val="16"/>
                <w:u w:val="none"/>
                <w:lang w:val="en-US" w:eastAsia="zh-CN" w:bidi="ar"/>
              </w:rPr>
              <w:t>财务负责人：杨祖国</w:t>
            </w:r>
          </w:p>
        </w:tc>
      </w:tr>
    </w:tbl>
    <w:p w14:paraId="2BC0F290">
      <w:pPr>
        <w:pStyle w:val="2"/>
        <w:spacing w:before="93"/>
        <w:rPr>
          <w:rFonts w:hAnsi="Calibri" w:cs="仿宋"/>
          <w:sz w:val="32"/>
          <w:szCs w:val="32"/>
        </w:rPr>
      </w:pPr>
    </w:p>
    <w:p w14:paraId="64756642">
      <w:pPr>
        <w:pStyle w:val="2"/>
        <w:spacing w:before="93"/>
        <w:rPr>
          <w:rFonts w:hAnsi="Calibri" w:cs="仿宋"/>
          <w:sz w:val="32"/>
          <w:szCs w:val="32"/>
        </w:rPr>
      </w:pPr>
    </w:p>
    <w:p w14:paraId="3C0850DF">
      <w:pPr>
        <w:pStyle w:val="2"/>
        <w:spacing w:before="93"/>
        <w:rPr>
          <w:rFonts w:hAnsi="Calibri" w:cs="仿宋"/>
          <w:sz w:val="32"/>
          <w:szCs w:val="32"/>
        </w:rPr>
      </w:pPr>
    </w:p>
    <w:p w14:paraId="43021EAA">
      <w:pPr>
        <w:pStyle w:val="2"/>
        <w:spacing w:before="93"/>
        <w:rPr>
          <w:rFonts w:hAnsi="Calibri" w:cs="仿宋"/>
          <w:sz w:val="32"/>
          <w:szCs w:val="32"/>
        </w:rPr>
      </w:pPr>
    </w:p>
    <w:p w14:paraId="01AEFF27">
      <w:pPr>
        <w:spacing w:line="600" w:lineRule="exact"/>
        <w:jc w:val="center"/>
        <w:outlineLvl w:val="0"/>
        <w:rPr>
          <w:rFonts w:ascii="仿宋" w:hAnsi="仿宋" w:eastAsia="仿宋"/>
        </w:rPr>
      </w:pPr>
      <w:bookmarkStart w:id="89" w:name="_Toc30587"/>
      <w:r>
        <w:rPr>
          <w:rFonts w:hint="eastAsia" w:ascii="黑体" w:hAnsi="黑体" w:eastAsia="黑体"/>
          <w:sz w:val="44"/>
          <w:szCs w:val="44"/>
        </w:rPr>
        <w:t>第</w:t>
      </w:r>
      <w:r>
        <w:rPr>
          <w:rStyle w:val="28"/>
          <w:rFonts w:hint="eastAsia" w:ascii="黑体" w:hAnsi="黑体" w:eastAsia="黑体"/>
          <w:b w:val="0"/>
        </w:rPr>
        <w:t>五部分 附表</w:t>
      </w:r>
      <w:bookmarkEnd w:id="83"/>
      <w:bookmarkEnd w:id="87"/>
      <w:bookmarkEnd w:id="89"/>
      <w:bookmarkStart w:id="90" w:name="_Toc15396619"/>
    </w:p>
    <w:p w14:paraId="5D8A324F">
      <w:pPr>
        <w:pStyle w:val="4"/>
        <w:rPr>
          <w:rFonts w:ascii="仿宋" w:hAnsi="仿宋" w:eastAsia="仿宋"/>
        </w:rPr>
      </w:pPr>
      <w:bookmarkStart w:id="91" w:name="_Toc21480"/>
      <w:r>
        <w:rPr>
          <w:rFonts w:hint="eastAsia" w:ascii="仿宋" w:hAnsi="仿宋" w:eastAsia="仿宋"/>
          <w:b w:val="0"/>
        </w:rPr>
        <w:t>一、收</w:t>
      </w:r>
      <w:r>
        <w:rPr>
          <w:rStyle w:val="29"/>
          <w:rFonts w:hint="eastAsia" w:ascii="仿宋" w:hAnsi="仿宋" w:eastAsia="仿宋"/>
          <w:b w:val="0"/>
          <w:bCs w:val="0"/>
        </w:rPr>
        <w:t>入支出决算总表</w:t>
      </w:r>
      <w:bookmarkEnd w:id="90"/>
      <w:bookmarkEnd w:id="91"/>
    </w:p>
    <w:p w14:paraId="6A565EC8">
      <w:pPr>
        <w:pStyle w:val="4"/>
        <w:rPr>
          <w:rFonts w:ascii="仿宋" w:hAnsi="仿宋" w:eastAsia="仿宋"/>
        </w:rPr>
      </w:pPr>
      <w:bookmarkStart w:id="92" w:name="_Toc27536"/>
      <w:bookmarkStart w:id="93" w:name="_Toc15396620"/>
      <w:r>
        <w:rPr>
          <w:rFonts w:hint="eastAsia" w:ascii="仿宋" w:hAnsi="仿宋" w:eastAsia="仿宋"/>
          <w:b w:val="0"/>
        </w:rPr>
        <w:t>二、收</w:t>
      </w:r>
      <w:r>
        <w:rPr>
          <w:rStyle w:val="29"/>
          <w:rFonts w:hint="eastAsia" w:ascii="仿宋" w:hAnsi="仿宋" w:eastAsia="仿宋"/>
          <w:b w:val="0"/>
          <w:bCs w:val="0"/>
        </w:rPr>
        <w:t>入决算表</w:t>
      </w:r>
      <w:bookmarkEnd w:id="92"/>
      <w:bookmarkEnd w:id="93"/>
    </w:p>
    <w:p w14:paraId="0EE92C9F">
      <w:pPr>
        <w:pStyle w:val="4"/>
        <w:rPr>
          <w:rFonts w:ascii="仿宋" w:hAnsi="仿宋" w:eastAsia="仿宋"/>
        </w:rPr>
      </w:pPr>
      <w:bookmarkStart w:id="94" w:name="_Toc15396621"/>
      <w:bookmarkStart w:id="95" w:name="_Toc27326"/>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94"/>
      <w:bookmarkEnd w:id="95"/>
    </w:p>
    <w:p w14:paraId="472A4BCF">
      <w:pPr>
        <w:pStyle w:val="4"/>
        <w:rPr>
          <w:rFonts w:ascii="仿宋" w:hAnsi="仿宋" w:eastAsia="仿宋"/>
          <w:b w:val="0"/>
        </w:rPr>
      </w:pPr>
      <w:bookmarkStart w:id="96" w:name="_Toc29685"/>
      <w:bookmarkStart w:id="97"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96"/>
      <w:bookmarkEnd w:id="97"/>
    </w:p>
    <w:p w14:paraId="48767162">
      <w:pPr>
        <w:pStyle w:val="4"/>
        <w:rPr>
          <w:rStyle w:val="29"/>
          <w:rFonts w:ascii="仿宋" w:hAnsi="仿宋" w:eastAsia="仿宋"/>
          <w:b w:val="0"/>
          <w:bCs w:val="0"/>
        </w:rPr>
      </w:pPr>
      <w:bookmarkStart w:id="98" w:name="_Toc15396623"/>
      <w:bookmarkStart w:id="99" w:name="_Toc3084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98"/>
      <w:bookmarkEnd w:id="99"/>
      <w:bookmarkStart w:id="100" w:name="_Toc15396624"/>
    </w:p>
    <w:p w14:paraId="03E0041E">
      <w:pPr>
        <w:pStyle w:val="4"/>
        <w:rPr>
          <w:rFonts w:ascii="仿宋" w:hAnsi="仿宋" w:eastAsia="仿宋"/>
        </w:rPr>
      </w:pPr>
      <w:bookmarkStart w:id="101" w:name="_Toc11549"/>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100"/>
      <w:bookmarkEnd w:id="101"/>
    </w:p>
    <w:p w14:paraId="24969FEC">
      <w:pPr>
        <w:pStyle w:val="4"/>
        <w:rPr>
          <w:rFonts w:ascii="仿宋" w:hAnsi="仿宋" w:eastAsia="仿宋"/>
        </w:rPr>
      </w:pPr>
      <w:bookmarkStart w:id="102" w:name="_Toc8326"/>
      <w:bookmarkStart w:id="103"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102"/>
      <w:bookmarkEnd w:id="103"/>
    </w:p>
    <w:p w14:paraId="614A4EC8">
      <w:pPr>
        <w:pStyle w:val="4"/>
        <w:rPr>
          <w:rFonts w:ascii="仿宋" w:hAnsi="仿宋" w:eastAsia="仿宋"/>
        </w:rPr>
      </w:pPr>
      <w:bookmarkStart w:id="104" w:name="_Toc15396626"/>
      <w:bookmarkStart w:id="105" w:name="_Toc19084"/>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104"/>
      <w:bookmarkEnd w:id="105"/>
    </w:p>
    <w:p w14:paraId="1FCA4B45">
      <w:pPr>
        <w:pStyle w:val="4"/>
        <w:rPr>
          <w:rFonts w:ascii="仿宋" w:hAnsi="仿宋" w:eastAsia="仿宋"/>
        </w:rPr>
      </w:pPr>
      <w:bookmarkStart w:id="106" w:name="_Toc15396627"/>
      <w:bookmarkStart w:id="107" w:name="_Toc2231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106"/>
      <w:bookmarkEnd w:id="107"/>
    </w:p>
    <w:p w14:paraId="3C0D4821">
      <w:pPr>
        <w:pStyle w:val="4"/>
        <w:rPr>
          <w:rFonts w:ascii="仿宋" w:hAnsi="仿宋" w:eastAsia="仿宋"/>
        </w:rPr>
      </w:pPr>
      <w:bookmarkStart w:id="108" w:name="_Toc15396628"/>
      <w:bookmarkStart w:id="109" w:name="_Toc2785"/>
      <w:r>
        <w:rPr>
          <w:rStyle w:val="29"/>
          <w:rFonts w:hint="eastAsia" w:ascii="仿宋" w:hAnsi="仿宋" w:eastAsia="仿宋"/>
          <w:b w:val="0"/>
          <w:bCs w:val="0"/>
        </w:rPr>
        <w:t>十、</w:t>
      </w:r>
      <w:bookmarkEnd w:id="108"/>
      <w:r>
        <w:rPr>
          <w:rFonts w:hint="eastAsia" w:ascii="仿宋" w:hAnsi="仿宋" w:eastAsia="仿宋"/>
          <w:b w:val="0"/>
        </w:rPr>
        <w:t>政</w:t>
      </w:r>
      <w:r>
        <w:rPr>
          <w:rStyle w:val="29"/>
          <w:rFonts w:hint="eastAsia" w:ascii="仿宋" w:hAnsi="仿宋" w:eastAsia="仿宋"/>
          <w:b w:val="0"/>
          <w:bCs w:val="0"/>
        </w:rPr>
        <w:t>府性基金预算财政拨款收入支出决算表</w:t>
      </w:r>
      <w:bookmarkEnd w:id="109"/>
    </w:p>
    <w:p w14:paraId="18E083DD">
      <w:pPr>
        <w:pStyle w:val="4"/>
        <w:rPr>
          <w:rFonts w:ascii="仿宋" w:hAnsi="仿宋" w:eastAsia="仿宋"/>
        </w:rPr>
      </w:pPr>
      <w:bookmarkStart w:id="110" w:name="_Toc15396629"/>
      <w:bookmarkStart w:id="111" w:name="_Toc13804"/>
      <w:r>
        <w:rPr>
          <w:rStyle w:val="29"/>
          <w:rFonts w:hint="eastAsia" w:ascii="仿宋" w:hAnsi="仿宋" w:eastAsia="仿宋"/>
          <w:b w:val="0"/>
          <w:bCs w:val="0"/>
        </w:rPr>
        <w:t>十一、</w:t>
      </w:r>
      <w:bookmarkEnd w:id="110"/>
      <w:r>
        <w:rPr>
          <w:rFonts w:hint="eastAsia" w:ascii="仿宋" w:hAnsi="仿宋" w:eastAsia="仿宋"/>
          <w:b w:val="0"/>
        </w:rPr>
        <w:t>国</w:t>
      </w:r>
      <w:r>
        <w:rPr>
          <w:rStyle w:val="29"/>
          <w:rFonts w:hint="eastAsia" w:ascii="仿宋" w:hAnsi="仿宋" w:eastAsia="仿宋"/>
          <w:b w:val="0"/>
          <w:bCs w:val="0"/>
        </w:rPr>
        <w:t>有资本经营预算财政拨款收入支出决算表</w:t>
      </w:r>
      <w:bookmarkEnd w:id="111"/>
    </w:p>
    <w:p w14:paraId="4998FEA0">
      <w:pPr>
        <w:pStyle w:val="4"/>
        <w:rPr>
          <w:rFonts w:ascii="仿宋" w:hAnsi="仿宋" w:eastAsia="仿宋"/>
        </w:rPr>
      </w:pPr>
      <w:bookmarkStart w:id="112" w:name="_Toc15396630"/>
      <w:bookmarkStart w:id="113" w:name="_Toc10628"/>
      <w:r>
        <w:rPr>
          <w:rStyle w:val="29"/>
          <w:rFonts w:hint="eastAsia" w:ascii="仿宋" w:hAnsi="仿宋" w:eastAsia="仿宋"/>
          <w:b w:val="0"/>
          <w:bCs w:val="0"/>
        </w:rPr>
        <w:t>十二、</w:t>
      </w:r>
      <w:bookmarkEnd w:id="112"/>
      <w:r>
        <w:rPr>
          <w:rStyle w:val="29"/>
          <w:rFonts w:hint="eastAsia" w:ascii="仿宋" w:hAnsi="仿宋" w:eastAsia="仿宋"/>
          <w:b w:val="0"/>
          <w:bCs w:val="0"/>
        </w:rPr>
        <w:t>国有资本经营预算财政拨款支出决算表</w:t>
      </w:r>
      <w:bookmarkEnd w:id="113"/>
    </w:p>
    <w:p w14:paraId="559A1B97">
      <w:pPr>
        <w:pStyle w:val="4"/>
        <w:rPr>
          <w:rFonts w:eastAsia="仿宋"/>
        </w:rPr>
      </w:pPr>
      <w:bookmarkStart w:id="114" w:name="_Toc15396631"/>
      <w:bookmarkStart w:id="115" w:name="_Toc23301"/>
      <w:r>
        <w:rPr>
          <w:rStyle w:val="29"/>
          <w:rFonts w:hint="eastAsia" w:ascii="仿宋" w:hAnsi="仿宋" w:eastAsia="仿宋"/>
          <w:b w:val="0"/>
          <w:bCs w:val="0"/>
        </w:rPr>
        <w:t>十三、</w:t>
      </w:r>
      <w:bookmarkEnd w:id="114"/>
      <w:r>
        <w:rPr>
          <w:rStyle w:val="29"/>
          <w:rFonts w:hint="eastAsia" w:ascii="仿宋" w:hAnsi="仿宋" w:eastAsia="仿宋"/>
          <w:b w:val="0"/>
          <w:bCs w:val="0"/>
        </w:rPr>
        <w:t>财政拨款“三公”经费支出决算表</w:t>
      </w:r>
      <w:bookmarkEnd w:id="115"/>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8E701D-6A07-4091-8390-E92EEEBE69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298BA8A-87EB-4750-8CCF-A5B14BC8E2D9}"/>
  </w:font>
  <w:font w:name="Cambria">
    <w:panose1 w:val="02040503050406030204"/>
    <w:charset w:val="00"/>
    <w:family w:val="roman"/>
    <w:pitch w:val="default"/>
    <w:sig w:usb0="E00006FF" w:usb1="420024FF" w:usb2="02000000" w:usb3="00000000" w:csb0="2000019F" w:csb1="00000000"/>
    <w:embedRegular r:id="rId3" w:fontKey="{74F26321-8AEA-46E4-90B0-18E09B61ABAE}"/>
  </w:font>
  <w:font w:name="仿宋_GB2312">
    <w:panose1 w:val="02010609030101010101"/>
    <w:charset w:val="86"/>
    <w:family w:val="auto"/>
    <w:pitch w:val="default"/>
    <w:sig w:usb0="00000001" w:usb1="080E0000" w:usb2="00000000" w:usb3="00000000" w:csb0="00040000" w:csb1="00000000"/>
    <w:embedRegular r:id="rId4" w:fontKey="{D60AD28E-9CFE-401C-8491-E959969AC84E}"/>
  </w:font>
  <w:font w:name="仿宋">
    <w:panose1 w:val="02010609060101010101"/>
    <w:charset w:val="86"/>
    <w:family w:val="modern"/>
    <w:pitch w:val="default"/>
    <w:sig w:usb0="800002BF" w:usb1="38CF7CFA" w:usb2="00000016" w:usb3="00000000" w:csb0="00040001" w:csb1="00000000"/>
    <w:embedRegular r:id="rId5" w:fontKey="{9D6511A7-058D-47D0-A907-6C717D0FDCCA}"/>
  </w:font>
  <w:font w:name="方正小标宋简体">
    <w:panose1 w:val="03000509000000000000"/>
    <w:charset w:val="86"/>
    <w:family w:val="script"/>
    <w:pitch w:val="default"/>
    <w:sig w:usb0="00000001" w:usb1="080E0000" w:usb2="00000000" w:usb3="00000000" w:csb0="00040000" w:csb1="00000000"/>
    <w:embedRegular r:id="rId6" w:fontKey="{ABF28234-DF97-4DF6-8870-9680A191592A}"/>
  </w:font>
  <w:font w:name="微软雅黑">
    <w:panose1 w:val="020B0503020204020204"/>
    <w:charset w:val="86"/>
    <w:family w:val="auto"/>
    <w:pitch w:val="default"/>
    <w:sig w:usb0="80000287" w:usb1="2ACF3C50" w:usb2="00000016" w:usb3="00000000" w:csb0="0004001F" w:csb1="00000000"/>
    <w:embedRegular r:id="rId7" w:fontKey="{00D22717-7C29-45B7-BA90-373F74EC5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1DB0B23D">
        <w:pPr>
          <w:pStyle w:val="9"/>
          <w:jc w:val="center"/>
        </w:pPr>
        <w:r>
          <w:fldChar w:fldCharType="begin"/>
        </w:r>
        <w:r>
          <w:instrText xml:space="preserve">PAGE   \* MERGEFORMAT</w:instrText>
        </w:r>
        <w:r>
          <w:fldChar w:fldCharType="separate"/>
        </w:r>
        <w:r>
          <w:rPr>
            <w:lang w:val="zh-CN"/>
          </w:rPr>
          <w:t>15</w:t>
        </w:r>
        <w:r>
          <w:fldChar w:fldCharType="end"/>
        </w:r>
      </w:p>
    </w:sdtContent>
  </w:sdt>
  <w:p w14:paraId="3AC54B4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7661A">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MjE5MWVjYWRmOWYxMGE5ZmI1OWJjZGVhOWJlMWY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3AF1"/>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F013AE"/>
    <w:rsid w:val="03DC2831"/>
    <w:rsid w:val="04DA0918"/>
    <w:rsid w:val="081B5E94"/>
    <w:rsid w:val="0A2032A3"/>
    <w:rsid w:val="0AFE1479"/>
    <w:rsid w:val="0B8A37D8"/>
    <w:rsid w:val="0C163C2D"/>
    <w:rsid w:val="0C485254"/>
    <w:rsid w:val="0D7C5879"/>
    <w:rsid w:val="0F5FFB2F"/>
    <w:rsid w:val="0FFFCF60"/>
    <w:rsid w:val="10C055FF"/>
    <w:rsid w:val="118107EC"/>
    <w:rsid w:val="118C4D48"/>
    <w:rsid w:val="11DD6519"/>
    <w:rsid w:val="1370487C"/>
    <w:rsid w:val="143D4C2A"/>
    <w:rsid w:val="169F1079"/>
    <w:rsid w:val="16BB723D"/>
    <w:rsid w:val="18015F3F"/>
    <w:rsid w:val="1A6E3285"/>
    <w:rsid w:val="1BE8440E"/>
    <w:rsid w:val="1D155CEE"/>
    <w:rsid w:val="1E3D5D47"/>
    <w:rsid w:val="1FDBBF84"/>
    <w:rsid w:val="20CB123D"/>
    <w:rsid w:val="20F3093F"/>
    <w:rsid w:val="20F57F95"/>
    <w:rsid w:val="240371BF"/>
    <w:rsid w:val="2520751C"/>
    <w:rsid w:val="25711CC6"/>
    <w:rsid w:val="25C741E6"/>
    <w:rsid w:val="27110773"/>
    <w:rsid w:val="276F80C0"/>
    <w:rsid w:val="27842671"/>
    <w:rsid w:val="292812C5"/>
    <w:rsid w:val="29FD04D3"/>
    <w:rsid w:val="2A946CEF"/>
    <w:rsid w:val="2ABE7A3E"/>
    <w:rsid w:val="2AFF09B6"/>
    <w:rsid w:val="2CA234A8"/>
    <w:rsid w:val="2EFA178C"/>
    <w:rsid w:val="2EFDF86C"/>
    <w:rsid w:val="2F9D17E1"/>
    <w:rsid w:val="2FC36147"/>
    <w:rsid w:val="2FF969E9"/>
    <w:rsid w:val="30B46D73"/>
    <w:rsid w:val="319F7F4E"/>
    <w:rsid w:val="356A28F1"/>
    <w:rsid w:val="357C035A"/>
    <w:rsid w:val="368E000D"/>
    <w:rsid w:val="373A29CC"/>
    <w:rsid w:val="383D272C"/>
    <w:rsid w:val="394857AB"/>
    <w:rsid w:val="39AE70AB"/>
    <w:rsid w:val="3A4DCE41"/>
    <w:rsid w:val="3B366E5F"/>
    <w:rsid w:val="3BCB56FA"/>
    <w:rsid w:val="3C0C0783"/>
    <w:rsid w:val="3CC70852"/>
    <w:rsid w:val="3EE7C2F4"/>
    <w:rsid w:val="3F371B56"/>
    <w:rsid w:val="3F792ED8"/>
    <w:rsid w:val="3F9F3A96"/>
    <w:rsid w:val="3FAA090B"/>
    <w:rsid w:val="3FECA4B2"/>
    <w:rsid w:val="3FF58C48"/>
    <w:rsid w:val="42FF6694"/>
    <w:rsid w:val="47D71576"/>
    <w:rsid w:val="48BF60AB"/>
    <w:rsid w:val="493C27E9"/>
    <w:rsid w:val="496F39ED"/>
    <w:rsid w:val="49FF41D3"/>
    <w:rsid w:val="4BE068DB"/>
    <w:rsid w:val="4BF6002B"/>
    <w:rsid w:val="4BFFC6BE"/>
    <w:rsid w:val="4ECE2238"/>
    <w:rsid w:val="51DB4B86"/>
    <w:rsid w:val="51F64DB0"/>
    <w:rsid w:val="545F7E68"/>
    <w:rsid w:val="551B1B3A"/>
    <w:rsid w:val="55333C3E"/>
    <w:rsid w:val="58C947B1"/>
    <w:rsid w:val="5D821D20"/>
    <w:rsid w:val="5F67802D"/>
    <w:rsid w:val="5F7DC4F2"/>
    <w:rsid w:val="5FB36814"/>
    <w:rsid w:val="5FBB8E56"/>
    <w:rsid w:val="5FFB5535"/>
    <w:rsid w:val="608D71B1"/>
    <w:rsid w:val="61811D5F"/>
    <w:rsid w:val="61CB0541"/>
    <w:rsid w:val="64CA39A1"/>
    <w:rsid w:val="69630ADE"/>
    <w:rsid w:val="69BD5F13"/>
    <w:rsid w:val="69FB0B4B"/>
    <w:rsid w:val="6BFFE1FB"/>
    <w:rsid w:val="6C103720"/>
    <w:rsid w:val="6C303DC2"/>
    <w:rsid w:val="6C4A05C8"/>
    <w:rsid w:val="6D3B1A89"/>
    <w:rsid w:val="6DA5731D"/>
    <w:rsid w:val="6DAD31F1"/>
    <w:rsid w:val="6DB7D8A3"/>
    <w:rsid w:val="6EC78701"/>
    <w:rsid w:val="6F7A5481"/>
    <w:rsid w:val="6FFE07A9"/>
    <w:rsid w:val="71BF4EC2"/>
    <w:rsid w:val="71FE4845"/>
    <w:rsid w:val="72734D90"/>
    <w:rsid w:val="73E03353"/>
    <w:rsid w:val="73E75B71"/>
    <w:rsid w:val="7412278C"/>
    <w:rsid w:val="746A1638"/>
    <w:rsid w:val="74B60BDD"/>
    <w:rsid w:val="75CE1F56"/>
    <w:rsid w:val="75DDCDA9"/>
    <w:rsid w:val="75FF44B1"/>
    <w:rsid w:val="77670518"/>
    <w:rsid w:val="777FA627"/>
    <w:rsid w:val="77DF1B5F"/>
    <w:rsid w:val="77EF2D9D"/>
    <w:rsid w:val="79E7B28D"/>
    <w:rsid w:val="7ACFF0C2"/>
    <w:rsid w:val="7AFB9108"/>
    <w:rsid w:val="7BD5340C"/>
    <w:rsid w:val="7BFB19D2"/>
    <w:rsid w:val="7BFD1750"/>
    <w:rsid w:val="7BFDAA1B"/>
    <w:rsid w:val="7CAB78C2"/>
    <w:rsid w:val="7CDF9A82"/>
    <w:rsid w:val="7CFFA1BD"/>
    <w:rsid w:val="7D2E3F7A"/>
    <w:rsid w:val="7D322B6C"/>
    <w:rsid w:val="7DED9490"/>
    <w:rsid w:val="7DFF4872"/>
    <w:rsid w:val="7E282B4B"/>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25"/>
    <w:autoRedefine/>
    <w:qFormat/>
    <w:uiPriority w:val="99"/>
    <w:pPr>
      <w:spacing w:beforeLines="30"/>
    </w:pPr>
    <w:rPr>
      <w:rFonts w:ascii="仿宋_GB2312" w:eastAsia="仿宋_GB2312"/>
      <w:kern w:val="0"/>
      <w:sz w:val="30"/>
    </w:rPr>
  </w:style>
  <w:style w:type="paragraph" w:styleId="6">
    <w:name w:val="Body Text Indent"/>
    <w:basedOn w:val="1"/>
    <w:autoRedefine/>
    <w:qFormat/>
    <w:uiPriority w:val="0"/>
    <w:pPr>
      <w:spacing w:after="120"/>
      <w:ind w:left="200" w:leftChars="200"/>
    </w:pPr>
    <w:rPr>
      <w:rFonts w:ascii="仿宋_GB2312"/>
      <w:szCs w:val="32"/>
    </w:rPr>
  </w:style>
  <w:style w:type="paragraph" w:styleId="7">
    <w:name w:val="toc 3"/>
    <w:basedOn w:val="1"/>
    <w:next w:val="1"/>
    <w:autoRedefine/>
    <w:unhideWhenUsed/>
    <w:qFormat/>
    <w:uiPriority w:val="39"/>
    <w:pPr>
      <w:tabs>
        <w:tab w:val="right" w:leader="dot" w:pos="8296"/>
      </w:tabs>
      <w:ind w:left="840" w:leftChars="400"/>
    </w:pPr>
  </w:style>
  <w:style w:type="paragraph" w:styleId="8">
    <w:name w:val="Balloon Text"/>
    <w:basedOn w:val="1"/>
    <w:link w:val="31"/>
    <w:autoRedefine/>
    <w:semiHidden/>
    <w:unhideWhenUsed/>
    <w:qFormat/>
    <w:uiPriority w:val="99"/>
    <w:rPr>
      <w:sz w:val="18"/>
      <w:szCs w:val="18"/>
    </w:rPr>
  </w:style>
  <w:style w:type="paragraph" w:styleId="9">
    <w:name w:val="footer"/>
    <w:basedOn w:val="1"/>
    <w:link w:val="23"/>
    <w:autoRedefine/>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autoRedefine/>
    <w:unhideWhenUsed/>
    <w:qFormat/>
    <w:uiPriority w:val="39"/>
    <w:pPr>
      <w:tabs>
        <w:tab w:val="right" w:leader="dot" w:pos="8296"/>
      </w:tabs>
      <w:ind w:left="420" w:leftChars="200"/>
    </w:pPr>
  </w:style>
  <w:style w:type="paragraph" w:styleId="13">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4">
    <w:name w:val="Body Text First Indent 2"/>
    <w:basedOn w:val="6"/>
    <w:autoRedefine/>
    <w:unhideWhenUsed/>
    <w:qFormat/>
    <w:uiPriority w:val="99"/>
    <w:pPr>
      <w:ind w:firstLine="420" w:firstLineChars="200"/>
    </w:pPr>
  </w:style>
  <w:style w:type="character" w:styleId="17">
    <w:name w:val="Strong"/>
    <w:basedOn w:val="16"/>
    <w:autoRedefine/>
    <w:qFormat/>
    <w:uiPriority w:val="99"/>
    <w:rPr>
      <w:b/>
    </w:rPr>
  </w:style>
  <w:style w:type="character" w:styleId="18">
    <w:name w:val="Hyperlink"/>
    <w:basedOn w:val="16"/>
    <w:autoRedefine/>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autoRedefine/>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autoRedefine/>
    <w:semiHidden/>
    <w:qFormat/>
    <w:uiPriority w:val="99"/>
    <w:rPr>
      <w:rFonts w:ascii="Times New Roman" w:hAnsi="Times New Roman"/>
      <w:sz w:val="18"/>
      <w:szCs w:val="18"/>
    </w:rPr>
  </w:style>
  <w:style w:type="character" w:customStyle="1" w:styleId="21">
    <w:name w:val="页眉 字符"/>
    <w:link w:val="10"/>
    <w:semiHidden/>
    <w:qFormat/>
    <w:locked/>
    <w:uiPriority w:val="99"/>
    <w:rPr>
      <w:sz w:val="18"/>
    </w:rPr>
  </w:style>
  <w:style w:type="character" w:customStyle="1" w:styleId="22">
    <w:name w:val="Footer Char"/>
    <w:basedOn w:val="16"/>
    <w:autoRedefine/>
    <w:semiHidden/>
    <w:qFormat/>
    <w:uiPriority w:val="99"/>
    <w:rPr>
      <w:rFonts w:ascii="Times New Roman" w:hAnsi="Times New Roman"/>
      <w:sz w:val="18"/>
      <w:szCs w:val="18"/>
    </w:rPr>
  </w:style>
  <w:style w:type="character" w:customStyle="1" w:styleId="23">
    <w:name w:val="页脚 字符"/>
    <w:link w:val="9"/>
    <w:autoRedefine/>
    <w:qFormat/>
    <w:locked/>
    <w:uiPriority w:val="99"/>
    <w:rPr>
      <w:sz w:val="18"/>
    </w:rPr>
  </w:style>
  <w:style w:type="character" w:customStyle="1" w:styleId="24">
    <w:name w:val="Body Text Char"/>
    <w:basedOn w:val="16"/>
    <w:autoRedefine/>
    <w:semiHidden/>
    <w:qFormat/>
    <w:uiPriority w:val="99"/>
    <w:rPr>
      <w:rFonts w:ascii="Times New Roman" w:hAnsi="Times New Roman"/>
      <w:szCs w:val="24"/>
    </w:rPr>
  </w:style>
  <w:style w:type="character" w:customStyle="1" w:styleId="25">
    <w:name w:val="正文文本 字符"/>
    <w:link w:val="2"/>
    <w:autoRedefine/>
    <w:qFormat/>
    <w:locked/>
    <w:uiPriority w:val="99"/>
    <w:rPr>
      <w:rFonts w:ascii="仿宋_GB2312" w:hAnsi="Times New Roman" w:eastAsia="仿宋_GB2312"/>
      <w:sz w:val="24"/>
    </w:rPr>
  </w:style>
  <w:style w:type="paragraph" w:customStyle="1" w:styleId="26">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autoRedefine/>
    <w:qFormat/>
    <w:uiPriority w:val="34"/>
    <w:pPr>
      <w:ind w:firstLine="420" w:firstLineChars="200"/>
    </w:pPr>
  </w:style>
  <w:style w:type="character" w:customStyle="1" w:styleId="28">
    <w:name w:val="标题 1 字符"/>
    <w:basedOn w:val="16"/>
    <w:link w:val="3"/>
    <w:autoRedefine/>
    <w:qFormat/>
    <w:uiPriority w:val="9"/>
    <w:rPr>
      <w:rFonts w:ascii="Times New Roman" w:hAnsi="Times New Roman"/>
      <w:b/>
      <w:bCs/>
      <w:kern w:val="44"/>
      <w:sz w:val="44"/>
      <w:szCs w:val="44"/>
    </w:rPr>
  </w:style>
  <w:style w:type="character" w:customStyle="1" w:styleId="29">
    <w:name w:val="标题 2 字符"/>
    <w:basedOn w:val="16"/>
    <w:link w:val="4"/>
    <w:autoRedefine/>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8"/>
    <w:autoRedefine/>
    <w:semiHidden/>
    <w:qFormat/>
    <w:uiPriority w:val="99"/>
    <w:rPr>
      <w:rFonts w:ascii="Times New Roman" w:hAnsi="Times New Roman"/>
      <w:kern w:val="2"/>
      <w:sz w:val="18"/>
      <w:szCs w:val="18"/>
    </w:rPr>
  </w:style>
  <w:style w:type="character" w:customStyle="1" w:styleId="32">
    <w:name w:val="标题 3 字符"/>
    <w:basedOn w:val="16"/>
    <w:link w:val="5"/>
    <w:autoRedefine/>
    <w:qFormat/>
    <w:uiPriority w:val="9"/>
    <w:rPr>
      <w:rFonts w:ascii="Times New Roman" w:hAnsi="Times New Roman"/>
      <w:b/>
      <w:bCs/>
      <w:kern w:val="2"/>
      <w:sz w:val="32"/>
      <w:szCs w:val="32"/>
    </w:rPr>
  </w:style>
  <w:style w:type="paragraph" w:customStyle="1" w:styleId="33">
    <w:name w:val="TOC 标题2"/>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5">
    <w:name w:val="WPSOffice手动目录 2"/>
    <w:autoRedefine/>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39</Pages>
  <Words>19061</Words>
  <Characters>21764</Characters>
  <Lines>54</Lines>
  <Paragraphs>15</Paragraphs>
  <TotalTime>33</TotalTime>
  <ScaleCrop>false</ScaleCrop>
  <LinksUpToDate>false</LinksUpToDate>
  <CharactersWithSpaces>21918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86152</cp:lastModifiedBy>
  <cp:lastPrinted>2023-08-03T02:35:00Z</cp:lastPrinted>
  <dcterms:modified xsi:type="dcterms:W3CDTF">2024-08-22T07:08:22Z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5015EE2094DF45E8B7B292332DD498A8_13</vt:lpwstr>
  </property>
</Properties>
</file>