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shd w:val="clear" w:color="auto" w:fill="FFFFFF"/>
        </w:rPr>
        <w:t>安全生产专项整治集中攻坚行动工作开展情况统计表</w:t>
      </w:r>
    </w:p>
    <w:p>
      <w:pPr>
        <w:jc w:val="left"/>
        <w:rPr>
          <w:rFonts w:hint="eastAsia"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填报单位（盖章）：                                                 年    月   日</w:t>
      </w:r>
    </w:p>
    <w:tbl>
      <w:tblPr>
        <w:tblStyle w:val="3"/>
        <w:tblW w:w="14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790"/>
        <w:gridCol w:w="2173"/>
        <w:gridCol w:w="1375"/>
        <w:gridCol w:w="616"/>
        <w:gridCol w:w="231"/>
        <w:gridCol w:w="2683"/>
        <w:gridCol w:w="231"/>
        <w:gridCol w:w="189"/>
        <w:gridCol w:w="1001"/>
        <w:gridCol w:w="929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    称</w:t>
            </w:r>
          </w:p>
        </w:tc>
        <w:tc>
          <w:tcPr>
            <w:tcW w:w="13512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落实企业安全生产主体责任专题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    容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企业建立清单家数（家）、安全承诺清单（家）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企业开展标准化建设三级（家）、二级（家）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企业建成完善的安全风险管控制度（家）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企业运用隐患排查治理“一张网”信息化管理系统（家）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企业开展风险辨识数量（家）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企业排查治理安全隐患数量（个）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两月进度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累计情况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    称</w:t>
            </w:r>
          </w:p>
        </w:tc>
        <w:tc>
          <w:tcPr>
            <w:tcW w:w="13512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非煤矿山安全专项整治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    容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关闭不符合安全生产条件的非煤矿山数量（座）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安装在线安全监测系统矿山数量数量（座）</w:t>
            </w:r>
          </w:p>
        </w:tc>
        <w:tc>
          <w:tcPr>
            <w:tcW w:w="39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建设项目安全设施“三同时”执行情况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两月进度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50" w:type="dxa"/>
            <w:gridSpan w:val="5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ascii="Calibri" w:hAnsi="Calibri" w:eastAsia="Times New Roman"/>
                <w:color w:val="auto"/>
                <w:szCs w:val="32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Cs w:val="21"/>
              </w:rPr>
              <w:t>.-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累计情况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9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    称</w:t>
            </w:r>
          </w:p>
        </w:tc>
        <w:tc>
          <w:tcPr>
            <w:tcW w:w="13512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工贸行业重点环节安全专项整治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    容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冶金、有色企业（家）排除治理隐患数量（个）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排查治理有限空间作业（个）隐患数量（个）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排查治理涉爆粉尘（家）隐患数量（个）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排除治理涉氨制冷（家）隐患数量（个）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工贸行业企业培训安全监管人员数量（人）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企业开展风险辨识数量（家）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两月进度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累计情况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    容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防范易燃易爆物品使用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电气火灾事故隐患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“坠落坍塌”隐患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工业厂房及配套房屋安全隐患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两月进度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累计情况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ascii="Calibri" w:hAnsi="Calibri" w:eastAsia="宋体"/>
          <w:color w:val="auto"/>
          <w:lang w:val="en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2268" w:bottom="1531" w:left="1985" w:header="851" w:footer="1327" w:gutter="0"/>
      <w:pgNumType w:fmt="numberInDash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A5CC6"/>
    <w:rsid w:val="7C0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2022-02-18T09:30:00Z</dcterms:created>
  <dc:creator>郭鑫</dc:creator>
  <cp:lastModifiedBy>郭鑫</cp:lastModifiedBy>
  <dcterms:modified xsi:type="dcterms:W3CDTF">2022-02-18T09:30:29Z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C834F4D9CD3D4AFC8C89D2F04FD4D69E</vt:lpwstr>
  </property>
</Properties>
</file>