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77425"/>
      <w:bookmarkStart w:id="1" w:name="_Toc15377193"/>
      <w:bookmarkStart w:id="2" w:name="_Toc15396597"/>
      <w:bookmarkStart w:id="3" w:name="_Toc15396475"/>
      <w:bookmarkStart w:id="4" w:name="_Toc15378441"/>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8660"/>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476"/>
      <w:bookmarkStart w:id="8" w:name="_Toc15378442"/>
      <w:bookmarkStart w:id="9" w:name="_Toc27330"/>
      <w:bookmarkStart w:id="10" w:name="_Toc15377194"/>
      <w:bookmarkStart w:id="11" w:name="_Toc15377426"/>
      <w:bookmarkStart w:id="12" w:name="_Toc15396598"/>
      <w:r>
        <w:rPr>
          <w:rFonts w:hint="eastAsia" w:ascii="方正小标宋简体" w:hAnsi="方正小标宋简体" w:eastAsia="方正小标宋简体" w:cs="方正小标宋简体"/>
          <w:sz w:val="72"/>
          <w:szCs w:val="72"/>
        </w:rPr>
        <w:t>遂宁市</w:t>
      </w:r>
      <w:bookmarkEnd w:id="5"/>
      <w:bookmarkStart w:id="13" w:name="_Toc15306268"/>
      <w:r>
        <w:rPr>
          <w:rFonts w:hint="eastAsia" w:ascii="方正小标宋简体" w:hAnsi="方正小标宋简体" w:eastAsia="方正小标宋简体" w:cs="方正小标宋简体"/>
          <w:sz w:val="72"/>
          <w:szCs w:val="72"/>
        </w:rPr>
        <w:t>应急管理局部门决算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公开时间：2023年8月25日</w:t>
      </w:r>
    </w:p>
    <w:p/>
    <w:sdt>
      <w:sdtPr>
        <w:rPr>
          <w:rFonts w:ascii="宋体" w:hAnsi="宋体"/>
        </w:rPr>
        <w:id w:val="147464699"/>
        <w:docPartObj>
          <w:docPartGallery w:val="Table of Contents"/>
          <w:docPartUnique/>
        </w:docPartObj>
      </w:sdtPr>
      <w:sdtEndPr>
        <w:rPr>
          <w:rFonts w:ascii="宋体" w:hAnsi="宋体"/>
          <w:b/>
        </w:rPr>
      </w:sdtEndPr>
      <w:sdtContent>
        <w:p>
          <w:pPr>
            <w:jc w:val="center"/>
            <w:rPr>
              <w:rStyle w:val="32"/>
              <w:rFonts w:ascii="黑体" w:hAnsi="黑体" w:eastAsia="黑体"/>
              <w:b w:val="0"/>
              <w:bCs w:val="0"/>
            </w:rPr>
          </w:pPr>
          <w:r>
            <w:fldChar w:fldCharType="begin"/>
          </w:r>
          <w:r>
            <w:instrText xml:space="preserve">TOC \o "1-2" \h \u </w:instrText>
          </w:r>
          <w:r>
            <w:fldChar w:fldCharType="separate"/>
          </w:r>
        </w:p>
        <w:p>
          <w:pPr>
            <w:pStyle w:val="39"/>
            <w:tabs>
              <w:tab w:val="right" w:leader="dot" w:pos="8306"/>
            </w:tabs>
            <w:rPr>
              <w:b/>
            </w:rPr>
          </w:pPr>
          <w:r>
            <w:fldChar w:fldCharType="begin"/>
          </w:r>
          <w:r>
            <w:instrText xml:space="preserve"> HYPERLINK \l "_Toc28615" </w:instrText>
          </w:r>
          <w:r>
            <w:fldChar w:fldCharType="separate"/>
          </w:r>
          <w:r>
            <w:rPr>
              <w:rStyle w:val="32"/>
              <w:rFonts w:hint="eastAsia" w:ascii="黑体" w:hAnsi="黑体" w:eastAsia="黑体"/>
              <w:b w:val="0"/>
              <w:bCs w:val="0"/>
            </w:rPr>
            <w:t>第一部分 部门概况</w:t>
          </w:r>
          <w:r>
            <w:rPr>
              <w:rStyle w:val="32"/>
              <w:rFonts w:hint="eastAsia" w:ascii="黑体" w:hAnsi="黑体" w:eastAsia="黑体"/>
              <w:b w:val="0"/>
              <w:bCs w:val="0"/>
            </w:rPr>
            <w:tab/>
          </w:r>
          <w:r>
            <w:rPr>
              <w:rStyle w:val="32"/>
              <w:rFonts w:hint="eastAsia" w:ascii="黑体" w:hAnsi="黑体" w:eastAsia="黑体"/>
              <w:b w:val="0"/>
              <w:bCs w:val="0"/>
            </w:rPr>
            <w:fldChar w:fldCharType="begin"/>
          </w:r>
          <w:r>
            <w:rPr>
              <w:rStyle w:val="32"/>
              <w:rFonts w:hint="eastAsia" w:ascii="黑体" w:hAnsi="黑体" w:eastAsia="黑体"/>
              <w:b w:val="0"/>
              <w:bCs w:val="0"/>
            </w:rPr>
            <w:instrText xml:space="preserve"> PAGEREF _Toc28615 \h </w:instrText>
          </w:r>
          <w:r>
            <w:rPr>
              <w:rStyle w:val="32"/>
              <w:rFonts w:hint="eastAsia" w:ascii="黑体" w:hAnsi="黑体" w:eastAsia="黑体"/>
              <w:b w:val="0"/>
              <w:bCs w:val="0"/>
            </w:rPr>
            <w:fldChar w:fldCharType="separate"/>
          </w:r>
          <w:r>
            <w:rPr>
              <w:rStyle w:val="32"/>
              <w:rFonts w:hint="eastAsia" w:ascii="黑体" w:hAnsi="黑体" w:eastAsia="黑体"/>
              <w:b w:val="0"/>
              <w:bCs w:val="0"/>
            </w:rPr>
            <w:t>5</w:t>
          </w:r>
          <w:r>
            <w:rPr>
              <w:rStyle w:val="32"/>
              <w:rFonts w:hint="eastAsia" w:ascii="黑体" w:hAnsi="黑体" w:eastAsia="黑体"/>
              <w:b w:val="0"/>
              <w:bCs w:val="0"/>
            </w:rPr>
            <w:fldChar w:fldCharType="end"/>
          </w:r>
          <w:r>
            <w:rPr>
              <w:rStyle w:val="32"/>
              <w:rFonts w:hint="eastAsia" w:ascii="黑体" w:hAnsi="黑体" w:eastAsia="黑体"/>
              <w:b w:val="0"/>
              <w:bCs w:val="0"/>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"_Toc20127" </w:instrText>
          </w:r>
          <w:r>
            <w:fldChar w:fldCharType="separate"/>
          </w:r>
          <w:r>
            <w:rPr>
              <w:rFonts w:hint="eastAsia" w:ascii="仿宋_GB2312" w:hAnsi="Times New Roman" w:eastAsia="仿宋_GB2312" w:cs="Times New Roman"/>
              <w:kern w:val="2"/>
              <w:sz w:val="32"/>
              <w:szCs w:val="32"/>
            </w:rPr>
            <w:t>一、 部门职责</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_Toc20127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5</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"_Toc18510" </w:instrText>
          </w:r>
          <w:r>
            <w:fldChar w:fldCharType="separate"/>
          </w:r>
          <w:r>
            <w:rPr>
              <w:rFonts w:hint="eastAsia" w:ascii="仿宋_GB2312" w:hAnsi="Times New Roman" w:eastAsia="仿宋_GB2312" w:cs="Times New Roman"/>
              <w:kern w:val="2"/>
              <w:sz w:val="32"/>
              <w:szCs w:val="32"/>
            </w:rPr>
            <w:t>二、机构设置</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_Toc18510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7</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39"/>
            <w:tabs>
              <w:tab w:val="right" w:leader="dot" w:pos="8306"/>
            </w:tabs>
            <w:rPr>
              <w:rStyle w:val="32"/>
              <w:rFonts w:ascii="黑体" w:hAnsi="黑体" w:eastAsia="黑体"/>
              <w:b w:val="0"/>
              <w:bCs w:val="0"/>
            </w:rPr>
          </w:pPr>
          <w:r>
            <w:fldChar w:fldCharType="begin"/>
          </w:r>
          <w:r>
            <w:instrText xml:space="preserve"> HYPERLINK \l "_Toc18127" </w:instrText>
          </w:r>
          <w:r>
            <w:fldChar w:fldCharType="separate"/>
          </w:r>
          <w:r>
            <w:rPr>
              <w:rStyle w:val="32"/>
              <w:rFonts w:hint="eastAsia" w:ascii="黑体" w:hAnsi="黑体" w:eastAsia="黑体"/>
              <w:b w:val="0"/>
              <w:bCs w:val="0"/>
            </w:rPr>
            <w:t>第二部分 2022年度部门决算情况说明</w:t>
          </w:r>
          <w:r>
            <w:rPr>
              <w:rStyle w:val="32"/>
              <w:rFonts w:hint="eastAsia" w:ascii="黑体" w:hAnsi="黑体" w:eastAsia="黑体"/>
              <w:b w:val="0"/>
              <w:bCs w:val="0"/>
            </w:rPr>
            <w:tab/>
          </w:r>
          <w:r>
            <w:rPr>
              <w:rStyle w:val="32"/>
              <w:rFonts w:hint="eastAsia" w:ascii="黑体" w:hAnsi="黑体" w:eastAsia="黑体"/>
              <w:b w:val="0"/>
              <w:bCs w:val="0"/>
            </w:rPr>
            <w:fldChar w:fldCharType="begin"/>
          </w:r>
          <w:r>
            <w:rPr>
              <w:rStyle w:val="32"/>
              <w:rFonts w:hint="eastAsia" w:ascii="黑体" w:hAnsi="黑体" w:eastAsia="黑体"/>
              <w:b w:val="0"/>
              <w:bCs w:val="0"/>
            </w:rPr>
            <w:instrText xml:space="preserve"> PAGEREF _Toc18127 \h </w:instrText>
          </w:r>
          <w:r>
            <w:rPr>
              <w:rStyle w:val="32"/>
              <w:rFonts w:hint="eastAsia" w:ascii="黑体" w:hAnsi="黑体" w:eastAsia="黑体"/>
              <w:b w:val="0"/>
              <w:bCs w:val="0"/>
            </w:rPr>
            <w:fldChar w:fldCharType="separate"/>
          </w:r>
          <w:r>
            <w:rPr>
              <w:rStyle w:val="32"/>
              <w:rFonts w:hint="eastAsia" w:ascii="黑体" w:hAnsi="黑体" w:eastAsia="黑体"/>
              <w:b w:val="0"/>
              <w:bCs w:val="0"/>
            </w:rPr>
            <w:t>9</w:t>
          </w:r>
          <w:r>
            <w:rPr>
              <w:rStyle w:val="32"/>
              <w:rFonts w:hint="eastAsia" w:ascii="黑体" w:hAnsi="黑体" w:eastAsia="黑体"/>
              <w:b w:val="0"/>
              <w:bCs w:val="0"/>
            </w:rPr>
            <w:fldChar w:fldCharType="end"/>
          </w:r>
          <w:r>
            <w:rPr>
              <w:rStyle w:val="32"/>
              <w:rFonts w:hint="eastAsia" w:ascii="黑体" w:hAnsi="黑体" w:eastAsia="黑体"/>
              <w:b w:val="0"/>
              <w:bCs w:val="0"/>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"_Toc15887" </w:instrText>
          </w:r>
          <w:r>
            <w:fldChar w:fldCharType="separate"/>
          </w:r>
          <w:r>
            <w:rPr>
              <w:rFonts w:ascii="仿宋_GB2312" w:hAnsi="Times New Roman" w:eastAsia="仿宋_GB2312" w:cs="Times New Roman"/>
              <w:kern w:val="2"/>
              <w:sz w:val="32"/>
              <w:szCs w:val="32"/>
            </w:rPr>
            <w:t xml:space="preserve">一、 </w:t>
          </w:r>
          <w:r>
            <w:rPr>
              <w:rFonts w:hint="eastAsia" w:ascii="仿宋_GB2312" w:hAnsi="Times New Roman" w:eastAsia="仿宋_GB2312" w:cs="Times New Roman"/>
              <w:kern w:val="2"/>
              <w:sz w:val="32"/>
              <w:szCs w:val="32"/>
            </w:rPr>
            <w:t>收入支出决算总体情况说明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_Toc15887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9</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"_Toc8117" </w:instrText>
          </w:r>
          <w:r>
            <w:fldChar w:fldCharType="separate"/>
          </w:r>
          <w:r>
            <w:rPr>
              <w:rFonts w:ascii="仿宋_GB2312" w:hAnsi="Times New Roman" w:eastAsia="仿宋_GB2312" w:cs="Times New Roman"/>
              <w:kern w:val="2"/>
              <w:sz w:val="32"/>
              <w:szCs w:val="32"/>
            </w:rPr>
            <w:t xml:space="preserve">二、 </w:t>
          </w:r>
          <w:r>
            <w:rPr>
              <w:rFonts w:hint="eastAsia" w:ascii="仿宋_GB2312" w:hAnsi="Times New Roman" w:eastAsia="仿宋_GB2312" w:cs="Times New Roman"/>
              <w:kern w:val="2"/>
              <w:sz w:val="32"/>
              <w:szCs w:val="32"/>
            </w:rPr>
            <w:t>收入决算情况说明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_Toc8117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9</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"_Toc20717" </w:instrText>
          </w:r>
          <w:r>
            <w:fldChar w:fldCharType="separate"/>
          </w:r>
          <w:r>
            <w:rPr>
              <w:rFonts w:ascii="仿宋_GB2312" w:hAnsi="Times New Roman" w:eastAsia="仿宋_GB2312" w:cs="Times New Roman"/>
              <w:kern w:val="2"/>
              <w:sz w:val="32"/>
              <w:szCs w:val="32"/>
            </w:rPr>
            <w:t xml:space="preserve">三、 </w:t>
          </w:r>
          <w:r>
            <w:rPr>
              <w:rFonts w:hint="eastAsia" w:ascii="仿宋_GB2312" w:hAnsi="Times New Roman" w:eastAsia="仿宋_GB2312" w:cs="Times New Roman"/>
              <w:kern w:val="2"/>
              <w:sz w:val="32"/>
              <w:szCs w:val="32"/>
            </w:rPr>
            <w:t>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_Toc20717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9</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"_Toc29751" </w:instrText>
          </w:r>
          <w:r>
            <w:fldChar w:fldCharType="separate"/>
          </w:r>
          <w:r>
            <w:rPr>
              <w:rFonts w:hint="eastAsia" w:ascii="仿宋_GB2312" w:hAnsi="Times New Roman" w:eastAsia="仿宋_GB2312" w:cs="Times New Roman"/>
              <w:kern w:val="2"/>
              <w:sz w:val="32"/>
              <w:szCs w:val="32"/>
            </w:rPr>
            <w:t>四、财政拨款收入支出决算总体情况说明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_Toc29751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10</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"_Toc13210" </w:instrText>
          </w:r>
          <w:r>
            <w:fldChar w:fldCharType="separate"/>
          </w:r>
          <w:r>
            <w:rPr>
              <w:rFonts w:hint="eastAsia" w:ascii="仿宋_GB2312" w:hAnsi="Times New Roman" w:eastAsia="仿宋_GB2312" w:cs="Times New Roman"/>
              <w:kern w:val="2"/>
              <w:sz w:val="32"/>
              <w:szCs w:val="32"/>
            </w:rPr>
            <w:t>五、一般公共预算财政拨款支出决算情况说明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_Toc13210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11</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"_Toc22466" </w:instrText>
          </w:r>
          <w:r>
            <w:fldChar w:fldCharType="separate"/>
          </w:r>
          <w:r>
            <w:rPr>
              <w:rFonts w:hint="eastAsia" w:ascii="仿宋_GB2312" w:hAnsi="Times New Roman" w:eastAsia="仿宋_GB2312" w:cs="Times New Roman"/>
              <w:kern w:val="2"/>
              <w:sz w:val="32"/>
              <w:szCs w:val="32"/>
            </w:rPr>
            <w:t>六、一般公共预算财政拨款基本支出决算情况说明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_Toc22466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14</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"_Toc3257" </w:instrText>
          </w:r>
          <w:r>
            <w:fldChar w:fldCharType="separate"/>
          </w:r>
          <w:r>
            <w:rPr>
              <w:rFonts w:hint="eastAsia" w:ascii="仿宋_GB2312" w:hAnsi="Times New Roman" w:eastAsia="仿宋_GB2312" w:cs="Times New Roman"/>
              <w:kern w:val="2"/>
              <w:sz w:val="32"/>
              <w:szCs w:val="32"/>
            </w:rPr>
            <w:t>七、财政拨款“三公”经费支出决算情况说明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_Toc3257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15</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"_Toc8138" </w:instrText>
          </w:r>
          <w:r>
            <w:fldChar w:fldCharType="separate"/>
          </w:r>
          <w:r>
            <w:rPr>
              <w:rFonts w:hint="eastAsia" w:ascii="仿宋_GB2312" w:hAnsi="Times New Roman" w:eastAsia="仿宋_GB2312" w:cs="Times New Roman"/>
              <w:kern w:val="2"/>
              <w:sz w:val="32"/>
              <w:szCs w:val="32"/>
            </w:rPr>
            <w:t>八、政府性基金预算支出决算情况说明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_Toc8138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17</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"_Toc28458" </w:instrText>
          </w:r>
          <w:r>
            <w:fldChar w:fldCharType="separate"/>
          </w:r>
          <w:r>
            <w:rPr>
              <w:rFonts w:hint="eastAsia" w:ascii="仿宋_GB2312" w:hAnsi="Times New Roman" w:eastAsia="仿宋_GB2312" w:cs="Times New Roman"/>
              <w:kern w:val="2"/>
              <w:sz w:val="32"/>
              <w:szCs w:val="32"/>
            </w:rPr>
            <w:t>九、 国有资本经营预算支出决算情况说明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_Toc28458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pPr>
          <w:r>
            <w:fldChar w:fldCharType="begin"/>
          </w:r>
          <w:r>
            <w:instrText xml:space="preserve"> HYPERLINK \l "_Toc19460" </w:instrText>
          </w:r>
          <w:r>
            <w:fldChar w:fldCharType="separate"/>
          </w:r>
          <w:r>
            <w:rPr>
              <w:rFonts w:hint="eastAsia" w:ascii="仿宋_GB2312" w:hAnsi="Times New Roman" w:eastAsia="仿宋_GB2312" w:cs="Times New Roman"/>
              <w:kern w:val="2"/>
              <w:sz w:val="32"/>
              <w:szCs w:val="32"/>
            </w:rPr>
            <w:t>十、 其他重要事项的情况说明</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_Toc19460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18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39"/>
            <w:tabs>
              <w:tab w:val="right" w:leader="dot" w:pos="8306"/>
            </w:tabs>
            <w:rPr>
              <w:rStyle w:val="32"/>
              <w:rFonts w:ascii="黑体" w:hAnsi="黑体" w:eastAsia="黑体"/>
              <w:b w:val="0"/>
              <w:bCs w:val="0"/>
            </w:rPr>
          </w:pPr>
          <w:r>
            <w:fldChar w:fldCharType="begin"/>
          </w:r>
          <w:r>
            <w:instrText xml:space="preserve"> HYPERLINK \l "_Toc26228" </w:instrText>
          </w:r>
          <w:r>
            <w:fldChar w:fldCharType="separate"/>
          </w:r>
          <w:r>
            <w:rPr>
              <w:rStyle w:val="32"/>
              <w:rFonts w:hint="eastAsia" w:ascii="黑体" w:hAnsi="黑体" w:eastAsia="黑体"/>
              <w:b w:val="0"/>
              <w:bCs w:val="0"/>
            </w:rPr>
            <w:t>第三部分 名词解释</w:t>
          </w:r>
          <w:r>
            <w:rPr>
              <w:rStyle w:val="32"/>
              <w:rFonts w:hint="eastAsia" w:ascii="黑体" w:hAnsi="黑体" w:eastAsia="黑体"/>
              <w:b w:val="0"/>
              <w:bCs w:val="0"/>
            </w:rPr>
            <w:tab/>
          </w:r>
          <w:r>
            <w:rPr>
              <w:rStyle w:val="32"/>
              <w:rFonts w:hint="eastAsia" w:ascii="黑体" w:hAnsi="黑体" w:eastAsia="黑体"/>
              <w:b w:val="0"/>
              <w:bCs w:val="0"/>
            </w:rPr>
            <w:fldChar w:fldCharType="begin"/>
          </w:r>
          <w:r>
            <w:rPr>
              <w:rStyle w:val="32"/>
              <w:rFonts w:hint="eastAsia" w:ascii="黑体" w:hAnsi="黑体" w:eastAsia="黑体"/>
              <w:b w:val="0"/>
              <w:bCs w:val="0"/>
            </w:rPr>
            <w:instrText xml:space="preserve"> PAGEREF _Toc26228 \h </w:instrText>
          </w:r>
          <w:r>
            <w:rPr>
              <w:rStyle w:val="32"/>
              <w:rFonts w:hint="eastAsia" w:ascii="黑体" w:hAnsi="黑体" w:eastAsia="黑体"/>
              <w:b w:val="0"/>
              <w:bCs w:val="0"/>
            </w:rPr>
            <w:fldChar w:fldCharType="separate"/>
          </w:r>
          <w:r>
            <w:rPr>
              <w:rStyle w:val="32"/>
              <w:rFonts w:hint="eastAsia" w:ascii="黑体" w:hAnsi="黑体" w:eastAsia="黑体"/>
              <w:b w:val="0"/>
              <w:bCs w:val="0"/>
            </w:rPr>
            <w:t>20</w:t>
          </w:r>
          <w:r>
            <w:rPr>
              <w:rStyle w:val="32"/>
              <w:rFonts w:hint="eastAsia" w:ascii="黑体" w:hAnsi="黑体" w:eastAsia="黑体"/>
              <w:b w:val="0"/>
              <w:bCs w:val="0"/>
            </w:rPr>
            <w:fldChar w:fldCharType="end"/>
          </w:r>
          <w:r>
            <w:rPr>
              <w:rStyle w:val="32"/>
              <w:rFonts w:hint="eastAsia" w:ascii="黑体" w:hAnsi="黑体" w:eastAsia="黑体"/>
              <w:b w:val="0"/>
              <w:bCs w:val="0"/>
            </w:rPr>
            <w:fldChar w:fldCharType="end"/>
          </w:r>
        </w:p>
        <w:p>
          <w:pPr>
            <w:pStyle w:val="39"/>
            <w:tabs>
              <w:tab w:val="right" w:leader="dot" w:pos="8306"/>
            </w:tabs>
            <w:rPr>
              <w:rStyle w:val="32"/>
              <w:rFonts w:ascii="黑体" w:hAnsi="黑体" w:eastAsia="黑体"/>
              <w:b w:val="0"/>
              <w:bCs w:val="0"/>
            </w:rPr>
          </w:pPr>
          <w:r>
            <w:fldChar w:fldCharType="begin"/>
          </w:r>
          <w:r>
            <w:instrText xml:space="preserve"> HYPERLINK \l "_Toc11961" </w:instrText>
          </w:r>
          <w:r>
            <w:fldChar w:fldCharType="separate"/>
          </w:r>
          <w:r>
            <w:rPr>
              <w:rStyle w:val="32"/>
              <w:rFonts w:hint="eastAsia" w:ascii="黑体" w:hAnsi="黑体" w:eastAsia="黑体"/>
              <w:b w:val="0"/>
              <w:bCs w:val="0"/>
            </w:rPr>
            <w:t>第四部分 附件</w:t>
          </w:r>
          <w:r>
            <w:rPr>
              <w:rStyle w:val="32"/>
              <w:rFonts w:hint="eastAsia" w:ascii="黑体" w:hAnsi="黑体" w:eastAsia="黑体"/>
              <w:b w:val="0"/>
              <w:bCs w:val="0"/>
            </w:rPr>
            <w:tab/>
          </w:r>
          <w:r>
            <w:rPr>
              <w:rStyle w:val="32"/>
              <w:rFonts w:hint="eastAsia" w:ascii="黑体" w:hAnsi="黑体" w:eastAsia="黑体"/>
              <w:b w:val="0"/>
              <w:bCs w:val="0"/>
            </w:rPr>
            <w:fldChar w:fldCharType="begin"/>
          </w:r>
          <w:r>
            <w:rPr>
              <w:rStyle w:val="32"/>
              <w:rFonts w:hint="eastAsia" w:ascii="黑体" w:hAnsi="黑体" w:eastAsia="黑体"/>
              <w:b w:val="0"/>
              <w:bCs w:val="0"/>
            </w:rPr>
            <w:instrText xml:space="preserve"> PAGEREF _Toc11961 \h </w:instrText>
          </w:r>
          <w:r>
            <w:rPr>
              <w:rStyle w:val="32"/>
              <w:rFonts w:hint="eastAsia" w:ascii="黑体" w:hAnsi="黑体" w:eastAsia="黑体"/>
              <w:b w:val="0"/>
              <w:bCs w:val="0"/>
            </w:rPr>
            <w:fldChar w:fldCharType="separate"/>
          </w:r>
          <w:r>
            <w:rPr>
              <w:rStyle w:val="32"/>
              <w:rFonts w:hint="eastAsia" w:ascii="黑体" w:hAnsi="黑体" w:eastAsia="黑体"/>
              <w:b w:val="0"/>
              <w:bCs w:val="0"/>
            </w:rPr>
            <w:t>24</w:t>
          </w:r>
          <w:r>
            <w:rPr>
              <w:rStyle w:val="32"/>
              <w:rFonts w:hint="eastAsia" w:ascii="黑体" w:hAnsi="黑体" w:eastAsia="黑体"/>
              <w:b w:val="0"/>
              <w:bCs w:val="0"/>
            </w:rPr>
            <w:fldChar w:fldCharType="end"/>
          </w:r>
          <w:r>
            <w:rPr>
              <w:rStyle w:val="32"/>
              <w:rFonts w:hint="eastAsia" w:ascii="黑体" w:hAnsi="黑体" w:eastAsia="黑体"/>
              <w:b w:val="0"/>
              <w:bCs w:val="0"/>
            </w:rPr>
            <w:fldChar w:fldCharType="end"/>
          </w:r>
        </w:p>
        <w:p>
          <w:pPr>
            <w:pStyle w:val="39"/>
            <w:tabs>
              <w:tab w:val="right" w:leader="dot" w:pos="8306"/>
            </w:tabs>
            <w:rPr>
              <w:b/>
            </w:rPr>
          </w:pPr>
          <w:r>
            <w:fldChar w:fldCharType="begin"/>
          </w:r>
          <w:r>
            <w:instrText xml:space="preserve"> HYPERLINK \l "_Toc25089" </w:instrText>
          </w:r>
          <w:r>
            <w:fldChar w:fldCharType="separate"/>
          </w:r>
          <w:r>
            <w:rPr>
              <w:rStyle w:val="32"/>
              <w:rFonts w:hint="eastAsia" w:ascii="黑体" w:hAnsi="黑体" w:eastAsia="黑体"/>
              <w:b w:val="0"/>
              <w:bCs w:val="0"/>
            </w:rPr>
            <w:t>第五部分 附表</w:t>
          </w:r>
          <w:r>
            <w:rPr>
              <w:rStyle w:val="32"/>
              <w:rFonts w:hint="eastAsia" w:ascii="黑体" w:hAnsi="黑体" w:eastAsia="黑体"/>
              <w:b w:val="0"/>
              <w:bCs w:val="0"/>
            </w:rPr>
            <w:tab/>
          </w:r>
          <w:r>
            <w:rPr>
              <w:rStyle w:val="32"/>
              <w:rFonts w:hint="eastAsia" w:ascii="黑体" w:hAnsi="黑体" w:eastAsia="黑体"/>
              <w:b w:val="0"/>
              <w:bCs w:val="0"/>
            </w:rPr>
            <w:fldChar w:fldCharType="begin"/>
          </w:r>
          <w:r>
            <w:rPr>
              <w:rStyle w:val="32"/>
              <w:rFonts w:hint="eastAsia" w:ascii="黑体" w:hAnsi="黑体" w:eastAsia="黑体"/>
              <w:b w:val="0"/>
              <w:bCs w:val="0"/>
            </w:rPr>
            <w:instrText xml:space="preserve"> PAGEREF _Toc25089 \h </w:instrText>
          </w:r>
          <w:r>
            <w:rPr>
              <w:rStyle w:val="32"/>
              <w:rFonts w:hint="eastAsia" w:ascii="黑体" w:hAnsi="黑体" w:eastAsia="黑体"/>
              <w:b w:val="0"/>
              <w:bCs w:val="0"/>
            </w:rPr>
            <w:fldChar w:fldCharType="separate"/>
          </w:r>
          <w:r>
            <w:rPr>
              <w:rStyle w:val="32"/>
              <w:rFonts w:hint="eastAsia" w:ascii="黑体" w:hAnsi="黑体" w:eastAsia="黑体"/>
              <w:b w:val="0"/>
              <w:bCs w:val="0"/>
            </w:rPr>
            <w:t>37</w:t>
          </w:r>
          <w:r>
            <w:rPr>
              <w:rStyle w:val="32"/>
              <w:rFonts w:hint="eastAsia" w:ascii="黑体" w:hAnsi="黑体" w:eastAsia="黑体"/>
              <w:b w:val="0"/>
              <w:bCs w:val="0"/>
            </w:rPr>
            <w:fldChar w:fldCharType="end"/>
          </w:r>
          <w:r>
            <w:rPr>
              <w:rStyle w:val="32"/>
              <w:rFonts w:hint="eastAsia" w:ascii="黑体" w:hAnsi="黑体" w:eastAsia="黑体"/>
              <w:b w:val="0"/>
              <w:bCs w:val="0"/>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"_Toc17286" </w:instrText>
          </w:r>
          <w:r>
            <w:fldChar w:fldCharType="separate"/>
          </w:r>
          <w:r>
            <w:rPr>
              <w:rFonts w:hint="eastAsia" w:ascii="仿宋_GB2312" w:hAnsi="Times New Roman" w:eastAsia="仿宋_GB2312" w:cs="Times New Roman"/>
              <w:kern w:val="2"/>
              <w:sz w:val="32"/>
              <w:szCs w:val="32"/>
            </w:rPr>
            <w:t>一、收入支出决算总表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_Toc17286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"_Toc19577" </w:instrText>
          </w:r>
          <w:r>
            <w:fldChar w:fldCharType="separate"/>
          </w:r>
          <w:r>
            <w:rPr>
              <w:rFonts w:hint="eastAsia" w:ascii="仿宋_GB2312" w:hAnsi="Times New Roman" w:eastAsia="仿宋_GB2312" w:cs="Times New Roman"/>
              <w:kern w:val="2"/>
              <w:sz w:val="32"/>
              <w:szCs w:val="32"/>
            </w:rPr>
            <w:t>二、收入决算表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_Toc19577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"_Toc16587" </w:instrText>
          </w:r>
          <w:r>
            <w:fldChar w:fldCharType="separate"/>
          </w:r>
          <w:r>
            <w:rPr>
              <w:rFonts w:hint="eastAsia" w:ascii="仿宋_GB2312" w:hAnsi="Times New Roman" w:eastAsia="仿宋_GB2312" w:cs="Times New Roman"/>
              <w:kern w:val="2"/>
              <w:sz w:val="32"/>
              <w:szCs w:val="32"/>
            </w:rPr>
            <w:t>三、支出决算表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_Toc16587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"_Toc12104" </w:instrText>
          </w:r>
          <w:r>
            <w:fldChar w:fldCharType="separate"/>
          </w:r>
          <w:r>
            <w:rPr>
              <w:rFonts w:hint="eastAsia" w:ascii="仿宋_GB2312" w:hAnsi="Times New Roman" w:eastAsia="仿宋_GB2312" w:cs="Times New Roman"/>
              <w:kern w:val="2"/>
              <w:sz w:val="32"/>
              <w:szCs w:val="32"/>
            </w:rPr>
            <w:t>四、财政拨款收入支出决算总表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_Toc12104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"_Toc22183" </w:instrText>
          </w:r>
          <w:r>
            <w:fldChar w:fldCharType="separate"/>
          </w:r>
          <w:r>
            <w:rPr>
              <w:rFonts w:hint="eastAsia" w:ascii="仿宋_GB2312" w:hAnsi="Times New Roman" w:eastAsia="仿宋_GB2312" w:cs="Times New Roman"/>
              <w:kern w:val="2"/>
              <w:sz w:val="32"/>
              <w:szCs w:val="32"/>
            </w:rPr>
            <w:t>五、财政拨款支出决算明细表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_Toc22183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"_Toc18552" </w:instrText>
          </w:r>
          <w:r>
            <w:fldChar w:fldCharType="separate"/>
          </w:r>
          <w:r>
            <w:rPr>
              <w:rFonts w:hint="eastAsia" w:ascii="仿宋_GB2312" w:hAnsi="Times New Roman" w:eastAsia="仿宋_GB2312" w:cs="Times New Roman"/>
              <w:kern w:val="2"/>
              <w:sz w:val="32"/>
              <w:szCs w:val="32"/>
            </w:rPr>
            <w:t>六、一般公共预算财政拨款支出决算表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_Toc18552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"_Toc14821" </w:instrText>
          </w:r>
          <w:r>
            <w:fldChar w:fldCharType="separate"/>
          </w:r>
          <w:r>
            <w:rPr>
              <w:rFonts w:hint="eastAsia" w:ascii="仿宋_GB2312" w:hAnsi="Times New Roman" w:eastAsia="仿宋_GB2312" w:cs="Times New Roman"/>
              <w:kern w:val="2"/>
              <w:sz w:val="32"/>
              <w:szCs w:val="32"/>
            </w:rPr>
            <w:t>七、一般公共预算财政拨款支出决算明细表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_Toc14821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"_Toc21744" </w:instrText>
          </w:r>
          <w:r>
            <w:fldChar w:fldCharType="separate"/>
          </w:r>
          <w:r>
            <w:rPr>
              <w:rFonts w:hint="eastAsia" w:ascii="仿宋_GB2312" w:hAnsi="Times New Roman" w:eastAsia="仿宋_GB2312" w:cs="Times New Roman"/>
              <w:kern w:val="2"/>
              <w:sz w:val="32"/>
              <w:szCs w:val="32"/>
            </w:rPr>
            <w:t>八、一般公共预算财政拨款基本支出决算表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_Toc21744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"_Toc10769" </w:instrText>
          </w:r>
          <w:r>
            <w:fldChar w:fldCharType="separate"/>
          </w:r>
          <w:r>
            <w:rPr>
              <w:rFonts w:hint="eastAsia" w:ascii="仿宋_GB2312" w:hAnsi="Times New Roman" w:eastAsia="仿宋_GB2312" w:cs="Times New Roman"/>
              <w:kern w:val="2"/>
              <w:sz w:val="32"/>
              <w:szCs w:val="32"/>
            </w:rPr>
            <w:t>九、一般公共预算财政拨款项目支出决算表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_Toc10769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"_Toc6999" </w:instrText>
          </w:r>
          <w:r>
            <w:fldChar w:fldCharType="separate"/>
          </w:r>
          <w:r>
            <w:rPr>
              <w:rFonts w:hint="eastAsia" w:ascii="仿宋_GB2312" w:hAnsi="Times New Roman" w:eastAsia="仿宋_GB2312" w:cs="Times New Roman"/>
              <w:kern w:val="2"/>
              <w:sz w:val="32"/>
              <w:szCs w:val="32"/>
            </w:rPr>
            <w:t>十、政府性基金预算财政拨款收入支出决算表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_Toc6999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"_Toc2870" </w:instrText>
          </w:r>
          <w:r>
            <w:fldChar w:fldCharType="separate"/>
          </w:r>
          <w:r>
            <w:rPr>
              <w:rFonts w:hint="eastAsia" w:ascii="仿宋_GB2312" w:hAnsi="Times New Roman" w:eastAsia="仿宋_GB2312" w:cs="Times New Roman"/>
              <w:kern w:val="2"/>
              <w:sz w:val="32"/>
              <w:szCs w:val="32"/>
            </w:rPr>
            <w:t>十一、国有资本经营预算财政拨款收入支出决算表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_Toc2870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"_Toc28530" </w:instrText>
          </w:r>
          <w:r>
            <w:fldChar w:fldCharType="separate"/>
          </w:r>
          <w:r>
            <w:rPr>
              <w:rFonts w:hint="eastAsia" w:ascii="仿宋_GB2312" w:hAnsi="Times New Roman" w:eastAsia="仿宋_GB2312" w:cs="Times New Roman"/>
              <w:kern w:val="2"/>
              <w:sz w:val="32"/>
              <w:szCs w:val="32"/>
            </w:rPr>
            <w:t>十二、国有资本经营预算财政拨款支出决算表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_Toc28530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rPr>
              <w:rFonts w:ascii="仿宋_GB2312" w:hAnsi="Times New Roman" w:eastAsia="仿宋_GB2312" w:cs="Times New Roman"/>
              <w:kern w:val="2"/>
              <w:sz w:val="32"/>
              <w:szCs w:val="32"/>
            </w:rPr>
          </w:pPr>
          <w:r>
            <w:fldChar w:fldCharType="begin"/>
          </w:r>
          <w:r>
            <w:instrText xml:space="preserve"> HYPERLINK \l "_Toc27239" </w:instrText>
          </w:r>
          <w:r>
            <w:fldChar w:fldCharType="separate"/>
          </w:r>
          <w:r>
            <w:rPr>
              <w:rFonts w:hint="eastAsia" w:ascii="仿宋_GB2312" w:hAnsi="Times New Roman" w:eastAsia="仿宋_GB2312" w:cs="Times New Roman"/>
              <w:kern w:val="2"/>
              <w:sz w:val="32"/>
              <w:szCs w:val="32"/>
            </w:rPr>
            <w:t>十三、财政拨款“三公”经费支出决算表</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_Toc27239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pPr>
            <w:pStyle w:val="40"/>
            <w:tabs>
              <w:tab w:val="right" w:leader="dot" w:pos="8306"/>
            </w:tabs>
            <w:ind w:left="412"/>
          </w:pPr>
          <w:r>
            <w:fldChar w:fldCharType="begin"/>
          </w:r>
          <w:r>
            <w:instrText xml:space="preserve"> HYPERLINK \l "_Toc30969" </w:instrText>
          </w:r>
          <w:r>
            <w:fldChar w:fldCharType="separate"/>
          </w:r>
          <w:r>
            <w:rPr>
              <w:rFonts w:hint="eastAsia" w:ascii="仿宋_GB2312" w:hAnsi="Times New Roman" w:eastAsia="仿宋_GB2312" w:cs="Times New Roman"/>
              <w:kern w:val="2"/>
              <w:sz w:val="32"/>
              <w:szCs w:val="32"/>
            </w:rPr>
            <w:t>十四、部门预算项目支出绩效自评表（2022年度）</w:t>
          </w:r>
          <w:r>
            <w:rPr>
              <w:rFonts w:ascii="仿宋_GB2312" w:hAnsi="Times New Roman" w:eastAsia="仿宋_GB2312" w:cs="Times New Roman"/>
              <w:kern w:val="2"/>
              <w:sz w:val="32"/>
              <w:szCs w:val="32"/>
            </w:rPr>
            <w:tab/>
          </w:r>
          <w:r>
            <w:rPr>
              <w:rFonts w:ascii="仿宋_GB2312" w:hAnsi="Times New Roman" w:eastAsia="仿宋_GB2312" w:cs="Times New Roman"/>
              <w:kern w:val="2"/>
              <w:sz w:val="32"/>
              <w:szCs w:val="32"/>
            </w:rPr>
            <w:fldChar w:fldCharType="begin"/>
          </w:r>
          <w:r>
            <w:rPr>
              <w:rFonts w:ascii="仿宋_GB2312" w:hAnsi="Times New Roman" w:eastAsia="仿宋_GB2312" w:cs="Times New Roman"/>
              <w:kern w:val="2"/>
              <w:sz w:val="32"/>
              <w:szCs w:val="32"/>
            </w:rPr>
            <w:instrText xml:space="preserve"> PAGEREF _Toc30969 \h </w:instrText>
          </w:r>
          <w:r>
            <w:rPr>
              <w:rFonts w:ascii="仿宋_GB2312" w:hAnsi="Times New Roman" w:eastAsia="仿宋_GB2312" w:cs="Times New Roman"/>
              <w:kern w:val="2"/>
              <w:sz w:val="32"/>
              <w:szCs w:val="32"/>
            </w:rPr>
            <w:fldChar w:fldCharType="separate"/>
          </w:r>
          <w:r>
            <w:rPr>
              <w:rFonts w:ascii="仿宋_GB2312" w:hAnsi="Times New Roman" w:eastAsia="仿宋_GB2312" w:cs="Times New Roman"/>
              <w:kern w:val="2"/>
              <w:sz w:val="32"/>
              <w:szCs w:val="32"/>
            </w:rPr>
            <w:t>38</w:t>
          </w:r>
          <w:r>
            <w:rPr>
              <w:rFonts w:ascii="仿宋_GB2312" w:hAnsi="Times New Roman" w:eastAsia="仿宋_GB2312" w:cs="Times New Roman"/>
              <w:kern w:val="2"/>
              <w:sz w:val="32"/>
              <w:szCs w:val="32"/>
            </w:rPr>
            <w:fldChar w:fldCharType="end"/>
          </w:r>
          <w:r>
            <w:rPr>
              <w:rFonts w:ascii="仿宋_GB2312" w:hAnsi="Times New Roman" w:eastAsia="仿宋_GB2312" w:cs="Times New Roman"/>
              <w:kern w:val="2"/>
              <w:sz w:val="32"/>
              <w:szCs w:val="32"/>
            </w:rPr>
            <w:fldChar w:fldCharType="end"/>
          </w:r>
        </w:p>
        <w:p>
          <w:r>
            <w:rPr>
              <w:b/>
            </w:rPr>
            <w:fldChar w:fldCharType="end"/>
          </w:r>
        </w:p>
      </w:sdtContent>
    </w:sdt>
    <w:p>
      <w:pPr>
        <w:pStyle w:val="3"/>
        <w:jc w:val="center"/>
        <w:rPr>
          <w:rFonts w:hint="eastAsia" w:ascii="黑体" w:hAnsi="黑体" w:eastAsia="黑体"/>
          <w:b w:val="0"/>
          <w:lang w:val="en-US" w:eastAsia="zh-CN"/>
        </w:rPr>
      </w:pPr>
      <w:bookmarkStart w:id="14" w:name="_Toc15396599"/>
      <w:bookmarkStart w:id="15" w:name="_Toc28615"/>
      <w:bookmarkStart w:id="16" w:name="_Toc15377196"/>
      <w:r>
        <w:rPr>
          <w:rFonts w:hint="eastAsia" w:ascii="黑体" w:hAnsi="黑体" w:eastAsia="黑体"/>
          <w:b w:val="0"/>
          <w:lang w:val="en-US" w:eastAsia="zh-CN"/>
        </w:rPr>
        <w:t xml:space="preserve">          </w:t>
      </w:r>
    </w:p>
    <w:p>
      <w:pPr>
        <w:rPr>
          <w:rFonts w:hint="eastAsia" w:ascii="黑体" w:hAnsi="黑体" w:eastAsia="黑体"/>
          <w:b w:val="0"/>
          <w:lang w:val="en-US" w:eastAsia="zh-CN"/>
        </w:rPr>
      </w:pPr>
    </w:p>
    <w:p>
      <w:pPr>
        <w:pStyle w:val="2"/>
        <w:rPr>
          <w:rFonts w:hint="eastAsia" w:ascii="黑体" w:hAnsi="黑体" w:eastAsia="黑体"/>
          <w:b w:val="0"/>
          <w:lang w:val="en-US" w:eastAsia="zh-CN"/>
        </w:rPr>
      </w:pPr>
    </w:p>
    <w:p>
      <w:pPr>
        <w:pStyle w:val="2"/>
        <w:rPr>
          <w:rFonts w:hint="eastAsia" w:ascii="黑体" w:hAnsi="黑体" w:eastAsia="黑体"/>
          <w:b w:val="0"/>
          <w:lang w:val="en-US" w:eastAsia="zh-CN"/>
        </w:rPr>
      </w:pPr>
    </w:p>
    <w:p>
      <w:pPr>
        <w:pStyle w:val="2"/>
        <w:rPr>
          <w:rFonts w:hint="eastAsia" w:ascii="黑体" w:hAnsi="黑体" w:eastAsia="黑体"/>
          <w:b w:val="0"/>
          <w:lang w:val="en-US" w:eastAsia="zh-CN"/>
        </w:rPr>
      </w:pPr>
    </w:p>
    <w:p>
      <w:pPr>
        <w:pStyle w:val="2"/>
        <w:rPr>
          <w:rFonts w:hint="eastAsia" w:ascii="黑体" w:hAnsi="黑体" w:eastAsia="黑体"/>
          <w:b w:val="0"/>
          <w:lang w:val="en-US" w:eastAsia="zh-CN"/>
        </w:rPr>
      </w:pPr>
    </w:p>
    <w:p>
      <w:pPr>
        <w:pStyle w:val="2"/>
        <w:ind w:left="0" w:leftChars="0" w:firstLine="0" w:firstLineChars="0"/>
        <w:rPr>
          <w:rFonts w:hint="default" w:ascii="黑体" w:hAnsi="黑体" w:eastAsia="黑体"/>
          <w:b w:val="0"/>
          <w:lang w:val="en-US" w:eastAsia="zh-CN"/>
        </w:rPr>
      </w:pP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4"/>
      <w:bookmarkEnd w:id="15"/>
      <w:bookmarkEnd w:id="16"/>
    </w:p>
    <w:p>
      <w:pPr>
        <w:pStyle w:val="4"/>
        <w:numPr>
          <w:ilvl w:val="0"/>
          <w:numId w:val="1"/>
        </w:numPr>
        <w:spacing w:line="578" w:lineRule="exact"/>
        <w:rPr>
          <w:rFonts w:ascii="黑体" w:hAnsi="黑体" w:eastAsia="黑体"/>
          <w:b w:val="0"/>
        </w:rPr>
      </w:pPr>
      <w:bookmarkStart w:id="17" w:name="_Toc20127"/>
      <w:r>
        <w:rPr>
          <w:rFonts w:hint="eastAsia" w:ascii="黑体" w:hAnsi="黑体" w:eastAsia="黑体"/>
          <w:b w:val="0"/>
        </w:rPr>
        <w:t>部门职责</w:t>
      </w:r>
      <w:bookmarkEnd w:id="17"/>
    </w:p>
    <w:p>
      <w:pPr>
        <w:pStyle w:val="6"/>
        <w:adjustRightInd w:val="0"/>
        <w:snapToGrid w:val="0"/>
        <w:spacing w:before="187" w:line="578" w:lineRule="exact"/>
        <w:ind w:firstLine="672" w:firstLineChars="210"/>
        <w:outlineLvl w:val="2"/>
        <w:rPr>
          <w:rFonts w:ascii="仿宋" w:hAnsi="仿宋" w:eastAsia="仿宋"/>
          <w:bCs/>
          <w:sz w:val="32"/>
          <w:szCs w:val="32"/>
        </w:rPr>
      </w:pPr>
      <w:bookmarkStart w:id="18" w:name="_Toc15377198"/>
      <w:bookmarkStart w:id="19" w:name="_Toc15378445"/>
      <w:r>
        <w:rPr>
          <w:rFonts w:hint="eastAsia" w:ascii="仿宋" w:hAnsi="仿宋" w:eastAsia="仿宋"/>
          <w:bCs/>
          <w:sz w:val="32"/>
          <w:szCs w:val="32"/>
        </w:rPr>
        <w:t>（一）主要职能。（职能参照省政府批准的三定方案）</w:t>
      </w:r>
      <w:bookmarkEnd w:id="18"/>
      <w:bookmarkEnd w:id="19"/>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1.负责应急管理工作，组织和指导各地、各部门应对安全生产类、自然灾害类等突发事件和综合防灾减灾救灾工作。负责安全生产综合监督管理和工矿商贸行业安全生产监督管理工作。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2.拟订应急管理、安全生产等政策措施，组织编制应急体系建设、安全生产和综合防灾减灾规划，起草有关规章草案。</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4.牵头建立统一的应急管理信息系统，负责信息传输渠道的规划和布局，建立监测预警和灾情报告制度，健全自然灾害信息资源获取和共享机制，依法统一发布灾情。</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5.负责组织、指导、协调安全生产类、自然灾害类等突发事件应急救援，承担全市应对较大及以上灾害指挥部工作，综合研判突发事件发展态势并提出应对建议，负责组织较大及以上灾害应急处置工作。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6.统一协调指挥各类应急专业队伍，建立应急协调联动机制，推进指挥平台对接。</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7.按照国家和省相关政策和规定负责消防、森林火灾扑救、抗洪抢险、地震和地质灾害救援、生产安全事故救援等专业应急救援力量建设，依法依规统筹指导各地及社会应急救援力量和应急保障能力建设。</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8.按照国家和省相关政策和市委、市政府相关规定负责消防工作，组织和指导消防监督、火灾预防、火灾扑救等工作。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9.负责自然灾害综合监测预警工作，承担自然灾害综合风险评估工作，负责地震防御工作，指导协调森林火灾、水旱灾害和地质灾害等防治工作。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10.负责组织、协调灾害救助工作，组织和指导灾情核查、损失评估、救灾捐赠工作，管理、分配救灾款物并监督使用。</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11.依法承担市政府安全生产综合监督管理责任，指导协调、监督检查各县（区）政府和市直有关部门安全生产工作，组织开展安全生产巡查、考核工作。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12.按照分级、属地原则，依法监督检查工矿商贸生产经营单位贯彻执行安全生产法律法规情况及其安全生产条件和有关设备（特种设备除外）、材料、劳动防护用品的安全生产管理工作。协助做好中央、省在遂工矿商贸企业安全生产监督管理工作。负责危险化学品安全监督管理综合工作和烟花爆竹安全生产监督管理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13.承担非煤矿山、危险化学品、非药品类易制毒化学品和烟花爆竹等生产经营单位安全生产准入管理责任。</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14.依法组织、指导生产安全事故调查处理，监督事故查处和责任追究落实情况。组织开展自然灾害类突发事件的调查评估工作。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15.开展应急管理和安全生产方面的交流与合作，组织参与安全生产类、自然灾害类等突发事件的跨区域救援工作。</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16.制定应急物资储备和应急救援装备规划并组织实施，会同市发展和改革委员会等部门建立健全应急物资信息平台和调拨制度，在救灾时统一调度。</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17.负责应急管理、安全生产宣传教育和培训工作，组织和指导应急管理、安全生产的科学技术研究、推广应用和信息化建设工作。</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18.负责职责范围内的职业健康、生态环境保护、审批服务便民化等工作。</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pPr>
      <w:r>
        <w:rPr>
          <w:rFonts w:hint="eastAsia" w:ascii="仿宋_GB2312" w:eastAsia="仿宋_GB2312"/>
          <w:sz w:val="32"/>
          <w:szCs w:val="32"/>
        </w:rPr>
        <w:t>19.完成市委和市政府交办的其他任务。</w:t>
      </w:r>
    </w:p>
    <w:p>
      <w:pPr>
        <w:pStyle w:val="4"/>
        <w:pageBreakBefore w:val="0"/>
        <w:widowControl w:val="0"/>
        <w:kinsoku/>
        <w:wordWrap/>
        <w:overflowPunct/>
        <w:topLinePunct w:val="0"/>
        <w:autoSpaceDE/>
        <w:autoSpaceDN/>
        <w:bidi w:val="0"/>
        <w:spacing w:line="578" w:lineRule="exact"/>
        <w:textAlignment w:val="auto"/>
        <w:rPr>
          <w:rStyle w:val="32"/>
          <w:b w:val="0"/>
          <w:bCs w:val="0"/>
        </w:rPr>
      </w:pPr>
      <w:bookmarkStart w:id="20" w:name="_Toc18510"/>
      <w:bookmarkStart w:id="21" w:name="_Toc15396601"/>
      <w:bookmarkStart w:id="22"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20"/>
      <w:bookmarkEnd w:id="21"/>
      <w:bookmarkEnd w:id="22"/>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市应急局下属单位4个，其中参照公务员法管理的事业单位1个，公益一类事业单位3个。主要包括：遂宁市安全生产监察执法支队、遂宁市应急和安全生产信息中心、遂宁市应急指挥保障中心、遂宁市减灾中心。</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遂宁市应急管理局设10个内设机构：</w:t>
      </w:r>
    </w:p>
    <w:p>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1.办公室。</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2.应急救援科（预案管理科）。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3.法规宣传培训科（行政审批科）。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4.救灾与物资保障科。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5.火灾防治管理科。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6.安全生产综合协调科。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7.安全生产基础管理科（调查与评估科）。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8.危险化学品安全监管科。</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9.水旱与地震地灾救援科。</w:t>
      </w:r>
    </w:p>
    <w:p>
      <w:pPr>
        <w:adjustRightInd w:val="0"/>
        <w:snapToGrid w:val="0"/>
        <w:spacing w:line="579" w:lineRule="exact"/>
        <w:ind w:firstLine="640" w:firstLineChars="200"/>
        <w:rPr>
          <w:rFonts w:ascii="仿宋_GB2312" w:eastAsia="仿宋_GB2312"/>
          <w:sz w:val="32"/>
          <w:szCs w:val="32"/>
          <w:lang w:val="zh-CN"/>
        </w:rPr>
      </w:pPr>
      <w:r>
        <w:rPr>
          <w:rFonts w:hint="eastAsia" w:ascii="仿宋_GB2312" w:eastAsia="仿宋_GB2312"/>
          <w:sz w:val="32"/>
          <w:szCs w:val="32"/>
        </w:rPr>
        <w:t>10.机关党委办公室（人事科）。</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1"/>
          <w:rFonts w:ascii="黑体" w:hAnsi="黑体" w:eastAsia="黑体"/>
          <w:b w:val="0"/>
          <w:bCs/>
        </w:rPr>
      </w:pPr>
      <w:bookmarkStart w:id="23" w:name="_Toc15396602"/>
      <w:bookmarkStart w:id="24" w:name="_Toc18127"/>
      <w:bookmarkStart w:id="25"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23"/>
      <w:bookmarkEnd w:id="24"/>
      <w:bookmarkEnd w:id="25"/>
    </w:p>
    <w:p/>
    <w:p>
      <w:pPr>
        <w:pStyle w:val="30"/>
        <w:numPr>
          <w:ilvl w:val="0"/>
          <w:numId w:val="2"/>
        </w:numPr>
        <w:spacing w:line="600" w:lineRule="exact"/>
        <w:ind w:firstLineChars="0"/>
        <w:outlineLvl w:val="1"/>
        <w:rPr>
          <w:rStyle w:val="32"/>
          <w:rFonts w:ascii="黑体" w:hAnsi="黑体" w:eastAsia="黑体"/>
          <w:b w:val="0"/>
        </w:rPr>
      </w:pPr>
      <w:bookmarkStart w:id="26" w:name="_Toc15887"/>
      <w:bookmarkStart w:id="27" w:name="_Toc15377205"/>
      <w:bookmarkStart w:id="28"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6"/>
      <w:bookmarkEnd w:id="27"/>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2022年度收、支总计3009.33万元。与2021年相比，收、支总计各增加727万元，增长31.85</w:t>
      </w:r>
      <w:r>
        <w:rPr>
          <w:rFonts w:ascii="仿宋" w:hAnsi="仿宋" w:eastAsia="仿宋"/>
          <w:sz w:val="32"/>
          <w:szCs w:val="32"/>
        </w:rPr>
        <w:t>%</w:t>
      </w:r>
      <w:r>
        <w:rPr>
          <w:rFonts w:hint="eastAsia" w:ascii="仿宋" w:hAnsi="仿宋" w:eastAsia="仿宋"/>
          <w:sz w:val="32"/>
          <w:szCs w:val="32"/>
        </w:rPr>
        <w:t>。主要变动原因一是新进工作人员</w:t>
      </w:r>
      <w:r>
        <w:rPr>
          <w:rFonts w:hint="eastAsia" w:ascii="仿宋" w:hAnsi="仿宋" w:eastAsia="仿宋"/>
          <w:sz w:val="32"/>
          <w:szCs w:val="32"/>
          <w:lang w:val="en-US" w:eastAsia="zh-CN"/>
        </w:rPr>
        <w:t>3</w:t>
      </w:r>
      <w:bookmarkStart w:id="107" w:name="_GoBack"/>
      <w:bookmarkEnd w:id="107"/>
      <w:r>
        <w:rPr>
          <w:rFonts w:hint="eastAsia" w:ascii="仿宋" w:hAnsi="仿宋" w:eastAsia="仿宋"/>
          <w:sz w:val="32"/>
          <w:szCs w:val="32"/>
        </w:rPr>
        <w:t>名、养老保险缴费基数调整等原因导致人员经费增加；二是新增短期项目应急指挥中心及信息化建设支出。</w:t>
      </w:r>
    </w:p>
    <w:p>
      <w:pPr>
        <w:pStyle w:val="2"/>
        <w:ind w:firstLine="0"/>
      </w:pPr>
    </w:p>
    <w:p>
      <w:pPr>
        <w:pStyle w:val="2"/>
      </w:pPr>
      <w:r>
        <w:drawing>
          <wp:inline distT="0" distB="0" distL="114300" distR="114300">
            <wp:extent cx="3830320" cy="2192020"/>
            <wp:effectExtent l="5080" t="4445" r="12700" b="1333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0"/>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0"/>
        <w:numPr>
          <w:ilvl w:val="0"/>
          <w:numId w:val="2"/>
        </w:numPr>
        <w:spacing w:line="600" w:lineRule="exact"/>
        <w:ind w:firstLineChars="0"/>
        <w:outlineLvl w:val="1"/>
        <w:rPr>
          <w:rStyle w:val="32"/>
          <w:rFonts w:ascii="黑体" w:hAnsi="黑体" w:eastAsia="黑体"/>
          <w:b w:val="0"/>
        </w:rPr>
      </w:pPr>
      <w:bookmarkStart w:id="29" w:name="_Toc8117"/>
      <w:bookmarkStart w:id="30" w:name="_Toc15396604"/>
      <w:bookmarkStart w:id="31" w:name="_Toc15377206"/>
      <w:r>
        <w:rPr>
          <w:rFonts w:hint="eastAsia" w:ascii="黑体" w:hAnsi="黑体" w:eastAsia="黑体"/>
          <w:sz w:val="32"/>
          <w:szCs w:val="32"/>
        </w:rPr>
        <w:t>收</w:t>
      </w:r>
      <w:r>
        <w:rPr>
          <w:rStyle w:val="32"/>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1416"/>
      <w:r>
        <w:rPr>
          <w:rFonts w:ascii="仿宋" w:hAnsi="仿宋" w:eastAsia="仿宋"/>
          <w:sz w:val="32"/>
          <w:szCs w:val="32"/>
        </w:rPr>
        <w:t>20</w:t>
      </w:r>
      <w:r>
        <w:rPr>
          <w:rFonts w:hint="eastAsia" w:ascii="仿宋" w:hAnsi="仿宋" w:eastAsia="仿宋"/>
          <w:sz w:val="32"/>
          <w:szCs w:val="32"/>
        </w:rPr>
        <w:t>22年本年收入合计3009.33万元，其中：一般公共预算财政拨款收入1927.49万元，占64.05</w:t>
      </w:r>
      <w:r>
        <w:rPr>
          <w:rFonts w:ascii="仿宋" w:hAnsi="仿宋" w:eastAsia="仿宋"/>
          <w:sz w:val="32"/>
          <w:szCs w:val="32"/>
        </w:rPr>
        <w:t>%</w:t>
      </w:r>
      <w:r>
        <w:rPr>
          <w:rFonts w:hint="eastAsia" w:ascii="仿宋" w:hAnsi="仿宋" w:eastAsia="仿宋"/>
          <w:sz w:val="32"/>
          <w:szCs w:val="32"/>
        </w:rPr>
        <w:t>；其他收入1081.84万元，占35.95</w:t>
      </w:r>
      <w:r>
        <w:rPr>
          <w:rFonts w:ascii="仿宋" w:hAnsi="仿宋" w:eastAsia="仿宋"/>
          <w:sz w:val="32"/>
          <w:szCs w:val="32"/>
        </w:rPr>
        <w:t>%</w:t>
      </w:r>
      <w:r>
        <w:rPr>
          <w:rFonts w:hint="eastAsia" w:ascii="仿宋" w:hAnsi="仿宋" w:eastAsia="仿宋"/>
          <w:sz w:val="32"/>
          <w:szCs w:val="32"/>
        </w:rPr>
        <w:t>。</w:t>
      </w:r>
      <w:bookmarkEnd w:id="32"/>
    </w:p>
    <w:p>
      <w:pPr>
        <w:pStyle w:val="6"/>
        <w:spacing w:before="187"/>
      </w:pPr>
      <w:r>
        <w:drawing>
          <wp:inline distT="0" distB="0" distL="114300" distR="114300">
            <wp:extent cx="3991610" cy="2200275"/>
            <wp:effectExtent l="4445" t="4445" r="2349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2"/>
        </w:numPr>
        <w:spacing w:line="600" w:lineRule="exact"/>
        <w:ind w:firstLineChars="0"/>
        <w:outlineLvl w:val="1"/>
        <w:rPr>
          <w:rStyle w:val="32"/>
          <w:rFonts w:ascii="黑体" w:hAnsi="黑体" w:eastAsia="黑体"/>
          <w:b w:val="0"/>
        </w:rPr>
      </w:pPr>
      <w:bookmarkStart w:id="33" w:name="_Toc15396605"/>
      <w:bookmarkStart w:id="34" w:name="_Toc20717"/>
      <w:bookmarkStart w:id="35" w:name="_Toc15377207"/>
      <w:r>
        <w:rPr>
          <w:rFonts w:hint="eastAsia" w:ascii="黑体" w:hAnsi="黑体" w:eastAsia="黑体"/>
          <w:sz w:val="32"/>
          <w:szCs w:val="32"/>
        </w:rPr>
        <w:t>支</w:t>
      </w:r>
      <w:r>
        <w:rPr>
          <w:rStyle w:val="32"/>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24721"/>
      <w:r>
        <w:rPr>
          <w:rFonts w:ascii="仿宋" w:hAnsi="仿宋" w:eastAsia="仿宋"/>
          <w:sz w:val="32"/>
          <w:szCs w:val="32"/>
        </w:rPr>
        <w:t>20</w:t>
      </w:r>
      <w:r>
        <w:rPr>
          <w:rFonts w:hint="eastAsia" w:ascii="仿宋" w:hAnsi="仿宋" w:eastAsia="仿宋"/>
          <w:sz w:val="32"/>
          <w:szCs w:val="32"/>
        </w:rPr>
        <w:t>22年本年支出合计3009.33万元，其中：基本支出1307.99万元，占43.46</w:t>
      </w:r>
      <w:r>
        <w:rPr>
          <w:rFonts w:ascii="仿宋" w:hAnsi="仿宋" w:eastAsia="仿宋"/>
          <w:sz w:val="32"/>
          <w:szCs w:val="32"/>
        </w:rPr>
        <w:t>%</w:t>
      </w:r>
      <w:r>
        <w:rPr>
          <w:rFonts w:hint="eastAsia" w:ascii="仿宋" w:hAnsi="仿宋" w:eastAsia="仿宋"/>
          <w:sz w:val="32"/>
          <w:szCs w:val="32"/>
        </w:rPr>
        <w:t>；项目支出1701.34万元，占56.54</w:t>
      </w:r>
      <w:r>
        <w:rPr>
          <w:rFonts w:ascii="仿宋" w:hAnsi="仿宋" w:eastAsia="仿宋"/>
          <w:sz w:val="32"/>
          <w:szCs w:val="32"/>
        </w:rPr>
        <w:t>%</w:t>
      </w:r>
      <w:r>
        <w:rPr>
          <w:rFonts w:hint="eastAsia" w:ascii="仿宋" w:hAnsi="仿宋" w:eastAsia="仿宋"/>
          <w:sz w:val="32"/>
          <w:szCs w:val="32"/>
        </w:rPr>
        <w:t>.</w:t>
      </w:r>
      <w:bookmarkEnd w:id="36"/>
    </w:p>
    <w:p>
      <w:pPr>
        <w:pStyle w:val="6"/>
        <w:spacing w:before="187"/>
      </w:pPr>
      <w:r>
        <w:drawing>
          <wp:inline distT="0" distB="0" distL="114300" distR="114300">
            <wp:extent cx="4612640" cy="2106930"/>
            <wp:effectExtent l="4445" t="4445" r="12065"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7" w:name="_Toc29751"/>
      <w:bookmarkStart w:id="38" w:name="_Toc15377208"/>
      <w:bookmarkStart w:id="39"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7"/>
      <w:bookmarkEnd w:id="38"/>
      <w:bookmarkEnd w:id="3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22年财政拨款收、支总计1927.49万元。与</w:t>
      </w:r>
      <w:r>
        <w:rPr>
          <w:rFonts w:ascii="仿宋" w:hAnsi="仿宋" w:eastAsia="仿宋"/>
          <w:sz w:val="32"/>
          <w:szCs w:val="32"/>
        </w:rPr>
        <w:t>20</w:t>
      </w:r>
      <w:r>
        <w:rPr>
          <w:rFonts w:hint="eastAsia" w:ascii="仿宋" w:hAnsi="仿宋" w:eastAsia="仿宋"/>
          <w:sz w:val="32"/>
          <w:szCs w:val="32"/>
        </w:rPr>
        <w:t>21年相比，财政拨款收、支总计各增加108.47万元，增长5.97</w:t>
      </w:r>
      <w:r>
        <w:rPr>
          <w:rFonts w:ascii="仿宋" w:hAnsi="仿宋" w:eastAsia="仿宋"/>
          <w:sz w:val="32"/>
          <w:szCs w:val="32"/>
        </w:rPr>
        <w:t>%</w:t>
      </w:r>
      <w:r>
        <w:rPr>
          <w:rFonts w:hint="eastAsia" w:ascii="仿宋" w:hAnsi="仿宋" w:eastAsia="仿宋"/>
          <w:sz w:val="32"/>
          <w:szCs w:val="32"/>
        </w:rPr>
        <w:t>。主要变动原因一是新进工作人员3名、养老保险缴费基数调整等原因导致人员经费增加；二是新增短期项目应急指挥中心及信息化建设支出。</w:t>
      </w:r>
    </w:p>
    <w:p>
      <w:pPr>
        <w:rPr>
          <w:rFonts w:ascii="仿宋" w:hAnsi="仿宋" w:eastAsia="仿宋"/>
          <w:sz w:val="32"/>
          <w:szCs w:val="32"/>
        </w:rPr>
      </w:pPr>
      <w:r>
        <w:drawing>
          <wp:inline distT="0" distB="0" distL="114300" distR="114300">
            <wp:extent cx="4124325" cy="2412365"/>
            <wp:effectExtent l="4445" t="4445" r="5080" b="2159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2"/>
          <w:rFonts w:ascii="黑体" w:hAnsi="黑体" w:eastAsia="黑体"/>
          <w:b w:val="0"/>
        </w:rPr>
      </w:pPr>
      <w:bookmarkStart w:id="40" w:name="_Toc13210"/>
      <w:bookmarkStart w:id="41" w:name="_Toc15377209"/>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22年一般公共预算财政拨款支出1927.49万元，占本年支出合计的64.05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21年相比，一般公共预算财政拨款支出增加108.47万元，增长5.97</w:t>
      </w:r>
      <w:r>
        <w:rPr>
          <w:rFonts w:ascii="仿宋" w:hAnsi="仿宋" w:eastAsia="仿宋"/>
          <w:sz w:val="32"/>
          <w:szCs w:val="32"/>
        </w:rPr>
        <w:t>%</w:t>
      </w:r>
      <w:r>
        <w:rPr>
          <w:rFonts w:hint="eastAsia" w:ascii="仿宋" w:hAnsi="仿宋" w:eastAsia="仿宋"/>
          <w:sz w:val="32"/>
          <w:szCs w:val="32"/>
        </w:rPr>
        <w:t>。主要变动原因一是新进工作人员3名、养老保险缴费基数调整等原因导致人员经费增加；二是新增短期项目应急指挥中心及信息化建设支出。</w:t>
      </w:r>
    </w:p>
    <w:p>
      <w:pPr>
        <w:pStyle w:val="6"/>
        <w:spacing w:before="187"/>
        <w:rPr>
          <w:rFonts w:ascii="仿宋" w:hAnsi="仿宋" w:eastAsia="仿宋"/>
          <w:sz w:val="32"/>
          <w:szCs w:val="32"/>
        </w:rPr>
      </w:pPr>
      <w:r>
        <w:drawing>
          <wp:inline distT="0" distB="0" distL="114300" distR="114300">
            <wp:extent cx="3420745" cy="1852295"/>
            <wp:effectExtent l="4445" t="4445" r="22860" b="1016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22年一般公共预算财政拨款支出1927.49万元，主要用于以下方面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87.71万元，占4.55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38.15万元，占1.98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82.04万元，占4.26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1719.59万元，占89.21</w:t>
      </w:r>
      <w:r>
        <w:rPr>
          <w:rFonts w:ascii="仿宋" w:hAnsi="仿宋" w:eastAsia="仿宋"/>
          <w:sz w:val="32"/>
          <w:szCs w:val="32"/>
        </w:rPr>
        <w:t>%</w:t>
      </w:r>
      <w:r>
        <w:rPr>
          <w:rFonts w:hint="eastAsia" w:ascii="仿宋" w:hAnsi="仿宋" w:eastAsia="仿宋"/>
          <w:sz w:val="32"/>
          <w:szCs w:val="32"/>
        </w:rPr>
        <w:t>。</w:t>
      </w:r>
    </w:p>
    <w:p>
      <w:pPr>
        <w:pStyle w:val="2"/>
        <w:rPr>
          <w:rFonts w:ascii="仿宋" w:hAnsi="仿宋" w:eastAsia="仿宋"/>
          <w:sz w:val="32"/>
          <w:szCs w:val="32"/>
        </w:rPr>
      </w:pPr>
      <w:r>
        <w:drawing>
          <wp:inline distT="0" distB="0" distL="114300" distR="114300">
            <wp:extent cx="4562475" cy="2573655"/>
            <wp:effectExtent l="4445" t="4445" r="5080" b="1270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3" w:firstLineChars="200"/>
        <w:outlineLvl w:val="1"/>
        <w:rPr>
          <w:rFonts w:ascii="仿宋" w:hAnsi="仿宋" w:eastAsia="仿宋"/>
          <w:sz w:val="32"/>
          <w:szCs w:val="32"/>
        </w:rPr>
      </w:pPr>
      <w:bookmarkStart w:id="46" w:name="_Toc15377444"/>
      <w:bookmarkStart w:id="47" w:name="_Toc15377213"/>
      <w:bookmarkStart w:id="48" w:name="_Toc15378460"/>
      <w:bookmarkStart w:id="49" w:name="_Toc9884"/>
      <w:r>
        <w:rPr>
          <w:rFonts w:hint="eastAsia" w:ascii="仿宋" w:hAnsi="仿宋" w:eastAsia="仿宋"/>
          <w:b/>
          <w:sz w:val="32"/>
          <w:szCs w:val="32"/>
        </w:rPr>
        <w:t>2022年一般公共预算支出决算数为1927.49</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46"/>
      <w:bookmarkEnd w:id="47"/>
      <w:bookmarkEnd w:id="48"/>
      <w:bookmarkEnd w:id="49"/>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1</w:t>
      </w:r>
      <w:r>
        <w:rPr>
          <w:rStyle w:val="20"/>
          <w:rFonts w:ascii="仿宋" w:hAnsi="仿宋" w:eastAsia="仿宋"/>
          <w:bCs/>
          <w:sz w:val="32"/>
          <w:szCs w:val="32"/>
        </w:rPr>
        <w:t>.</w:t>
      </w:r>
      <w:r>
        <w:rPr>
          <w:rStyle w:val="20"/>
          <w:rFonts w:hint="eastAsia" w:ascii="仿宋" w:hAnsi="仿宋" w:eastAsia="仿宋"/>
          <w:bCs/>
          <w:sz w:val="32"/>
          <w:szCs w:val="32"/>
        </w:rPr>
        <w:t>社会保障和就业（类）行政事业单位养老支出（款）行政单位离退休（项）</w:t>
      </w:r>
      <w:r>
        <w:rPr>
          <w:rStyle w:val="20"/>
          <w:rFonts w:ascii="仿宋" w:hAnsi="仿宋" w:eastAsia="仿宋"/>
          <w:bCs/>
          <w:sz w:val="32"/>
          <w:szCs w:val="32"/>
        </w:rPr>
        <w:t>:</w:t>
      </w:r>
      <w:r>
        <w:rPr>
          <w:rStyle w:val="20"/>
          <w:rFonts w:hint="eastAsia" w:ascii="仿宋" w:hAnsi="仿宋" w:eastAsia="仿宋"/>
          <w:b w:val="0"/>
          <w:bCs/>
          <w:sz w:val="32"/>
          <w:szCs w:val="32"/>
        </w:rPr>
        <w:t>支出决算为2.04万元，完成预算100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 xml:space="preserve"> 2.社会保障和就业（类）行政事业单位养老支出（款）事业单位离退休（项）</w:t>
      </w:r>
      <w:r>
        <w:rPr>
          <w:rStyle w:val="20"/>
          <w:rFonts w:ascii="仿宋" w:hAnsi="仿宋" w:eastAsia="仿宋"/>
          <w:bCs/>
          <w:sz w:val="32"/>
          <w:szCs w:val="32"/>
        </w:rPr>
        <w:t>:</w:t>
      </w:r>
      <w:r>
        <w:rPr>
          <w:rStyle w:val="20"/>
          <w:rFonts w:hint="eastAsia" w:ascii="仿宋" w:hAnsi="仿宋" w:eastAsia="仿宋"/>
          <w:b w:val="0"/>
          <w:bCs/>
          <w:sz w:val="32"/>
          <w:szCs w:val="32"/>
        </w:rPr>
        <w:t>支出决算为0.14万元，完成预算100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3</w:t>
      </w:r>
      <w:r>
        <w:rPr>
          <w:rStyle w:val="20"/>
          <w:rFonts w:ascii="仿宋" w:hAnsi="仿宋" w:eastAsia="仿宋"/>
          <w:bCs/>
          <w:sz w:val="32"/>
          <w:szCs w:val="32"/>
        </w:rPr>
        <w:t>.</w:t>
      </w:r>
      <w:r>
        <w:rPr>
          <w:rStyle w:val="20"/>
          <w:rFonts w:hint="eastAsia" w:ascii="仿宋" w:hAnsi="仿宋" w:eastAsia="仿宋"/>
          <w:bCs/>
          <w:sz w:val="32"/>
          <w:szCs w:val="32"/>
        </w:rPr>
        <w:t>社会保障和就业（类）行政事业单位养老支出（款）机关事业单位基本养老保险缴费支出（项）</w:t>
      </w:r>
      <w:r>
        <w:rPr>
          <w:rStyle w:val="20"/>
          <w:rFonts w:ascii="仿宋" w:hAnsi="仿宋" w:eastAsia="仿宋"/>
          <w:bCs/>
          <w:sz w:val="32"/>
          <w:szCs w:val="32"/>
        </w:rPr>
        <w:t>:</w:t>
      </w:r>
      <w:r>
        <w:rPr>
          <w:rStyle w:val="20"/>
          <w:rFonts w:hint="eastAsia" w:ascii="仿宋" w:hAnsi="仿宋" w:eastAsia="仿宋"/>
          <w:b w:val="0"/>
          <w:bCs/>
          <w:sz w:val="32"/>
          <w:szCs w:val="32"/>
        </w:rPr>
        <w:t>支出决算为63.64万元，完成预算100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4</w:t>
      </w:r>
      <w:r>
        <w:rPr>
          <w:rStyle w:val="20"/>
          <w:rFonts w:ascii="仿宋" w:hAnsi="仿宋" w:eastAsia="仿宋"/>
          <w:bCs/>
          <w:sz w:val="32"/>
          <w:szCs w:val="32"/>
        </w:rPr>
        <w:t>.</w:t>
      </w:r>
      <w:r>
        <w:rPr>
          <w:rStyle w:val="20"/>
          <w:rFonts w:hint="eastAsia" w:ascii="仿宋" w:hAnsi="仿宋" w:eastAsia="仿宋"/>
          <w:bCs/>
          <w:sz w:val="32"/>
          <w:szCs w:val="32"/>
        </w:rPr>
        <w:t>社会保障和就业（类）抚恤（款）死亡抚恤（项）</w:t>
      </w:r>
      <w:r>
        <w:rPr>
          <w:rStyle w:val="20"/>
          <w:rFonts w:ascii="仿宋" w:hAnsi="仿宋" w:eastAsia="仿宋"/>
          <w:bCs/>
          <w:sz w:val="32"/>
          <w:szCs w:val="32"/>
        </w:rPr>
        <w:t>:</w:t>
      </w:r>
      <w:r>
        <w:rPr>
          <w:rStyle w:val="20"/>
          <w:rFonts w:hint="eastAsia" w:ascii="仿宋" w:hAnsi="仿宋" w:eastAsia="仿宋"/>
          <w:b w:val="0"/>
          <w:bCs/>
          <w:sz w:val="32"/>
          <w:szCs w:val="32"/>
        </w:rPr>
        <w:t>支出决算为21.89万元，完成预算100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5</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（类）行政事业单位医疗（款）行政单位医疗（项）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支出决算为21.88万元，完成预算100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6.</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（类）行政事业单位医疗（款）事业单位医疗（项）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支出决算16.27万元，完成预算100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7.</w:t>
      </w:r>
      <w:r>
        <w:rPr>
          <w:rFonts w:hint="eastAsia" w:ascii="仿宋" w:hAnsi="仿宋" w:eastAsia="仿宋"/>
          <w:b/>
          <w:bCs/>
          <w:sz w:val="32"/>
          <w:szCs w:val="32"/>
        </w:rPr>
        <w:t>住房保障支出</w:t>
      </w:r>
      <w:r>
        <w:rPr>
          <w:rStyle w:val="20"/>
          <w:rFonts w:hint="eastAsia" w:ascii="仿宋" w:hAnsi="仿宋" w:eastAsia="仿宋"/>
          <w:bCs/>
          <w:sz w:val="32"/>
          <w:szCs w:val="32"/>
        </w:rPr>
        <w:t>（类）住房改革支出（款）住房公积金（项）</w:t>
      </w:r>
      <w:r>
        <w:rPr>
          <w:rStyle w:val="20"/>
          <w:rFonts w:ascii="仿宋" w:hAnsi="仿宋" w:eastAsia="仿宋"/>
          <w:bCs/>
          <w:sz w:val="32"/>
          <w:szCs w:val="32"/>
        </w:rPr>
        <w:t>:</w:t>
      </w:r>
      <w:r>
        <w:rPr>
          <w:rStyle w:val="20"/>
          <w:rFonts w:hint="eastAsia" w:ascii="仿宋" w:hAnsi="仿宋" w:eastAsia="仿宋"/>
          <w:b w:val="0"/>
          <w:bCs/>
          <w:sz w:val="32"/>
          <w:szCs w:val="32"/>
        </w:rPr>
        <w:t>支出决算为82.04万元，完成预算100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8.</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（类）应急管理事务（款）行政运行（项）</w:t>
      </w:r>
      <w:r>
        <w:rPr>
          <w:rStyle w:val="20"/>
          <w:rFonts w:ascii="仿宋" w:hAnsi="仿宋" w:eastAsia="仿宋"/>
          <w:bCs/>
          <w:sz w:val="32"/>
          <w:szCs w:val="32"/>
        </w:rPr>
        <w:t>:</w:t>
      </w:r>
      <w:r>
        <w:rPr>
          <w:rStyle w:val="20"/>
          <w:rFonts w:hint="eastAsia" w:ascii="仿宋" w:hAnsi="仿宋" w:eastAsia="仿宋"/>
          <w:b w:val="0"/>
          <w:bCs/>
          <w:sz w:val="32"/>
          <w:szCs w:val="32"/>
        </w:rPr>
        <w:t>支出决算为701.37万元，完成预算100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9.</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（类）应急管理事务（款）一般行政管理事务（项）</w:t>
      </w:r>
      <w:r>
        <w:rPr>
          <w:rStyle w:val="20"/>
          <w:rFonts w:ascii="仿宋" w:hAnsi="仿宋" w:eastAsia="仿宋"/>
          <w:bCs/>
          <w:sz w:val="32"/>
          <w:szCs w:val="32"/>
        </w:rPr>
        <w:t>:</w:t>
      </w:r>
      <w:r>
        <w:rPr>
          <w:rStyle w:val="20"/>
          <w:rFonts w:hint="eastAsia" w:ascii="仿宋" w:hAnsi="仿宋" w:eastAsia="仿宋"/>
          <w:b w:val="0"/>
          <w:bCs/>
          <w:sz w:val="32"/>
          <w:szCs w:val="32"/>
        </w:rPr>
        <w:t>支出决算为104.36万元，完成预算100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10.</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（类）应急管理事务（款）安全监管（项）</w:t>
      </w:r>
      <w:r>
        <w:rPr>
          <w:rStyle w:val="20"/>
          <w:rFonts w:ascii="仿宋" w:hAnsi="仿宋" w:eastAsia="仿宋"/>
          <w:bCs/>
          <w:sz w:val="32"/>
          <w:szCs w:val="32"/>
        </w:rPr>
        <w:t>:</w:t>
      </w:r>
      <w:r>
        <w:rPr>
          <w:rStyle w:val="20"/>
          <w:rFonts w:hint="eastAsia" w:ascii="仿宋" w:hAnsi="仿宋" w:eastAsia="仿宋"/>
          <w:b w:val="0"/>
          <w:bCs/>
          <w:sz w:val="32"/>
          <w:szCs w:val="32"/>
        </w:rPr>
        <w:t>支出决算为137.88万元，完成预算100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11.</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 应急管理（项）</w:t>
      </w:r>
      <w:r>
        <w:rPr>
          <w:rStyle w:val="20"/>
          <w:rFonts w:ascii="仿宋" w:hAnsi="仿宋" w:eastAsia="仿宋"/>
          <w:bCs/>
          <w:sz w:val="32"/>
          <w:szCs w:val="32"/>
        </w:rPr>
        <w:t>:</w:t>
      </w:r>
      <w:r>
        <w:rPr>
          <w:rStyle w:val="20"/>
          <w:rFonts w:hint="eastAsia" w:ascii="仿宋" w:hAnsi="仿宋" w:eastAsia="仿宋"/>
          <w:b w:val="0"/>
          <w:bCs/>
          <w:sz w:val="32"/>
          <w:szCs w:val="32"/>
        </w:rPr>
        <w:t>支出决算为118.63万元，完成预算100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12.</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（类）应急管理事务（款）事业运行（项）</w:t>
      </w:r>
      <w:r>
        <w:rPr>
          <w:rStyle w:val="20"/>
          <w:rFonts w:ascii="仿宋" w:hAnsi="仿宋" w:eastAsia="仿宋"/>
          <w:bCs/>
          <w:sz w:val="32"/>
          <w:szCs w:val="32"/>
        </w:rPr>
        <w:t>:</w:t>
      </w:r>
      <w:r>
        <w:rPr>
          <w:rStyle w:val="20"/>
          <w:rFonts w:hint="eastAsia" w:ascii="仿宋" w:hAnsi="仿宋" w:eastAsia="仿宋"/>
          <w:b w:val="0"/>
          <w:bCs/>
          <w:sz w:val="32"/>
          <w:szCs w:val="32"/>
        </w:rPr>
        <w:t>支出决算为368.19万元，完成预算100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13.</w:t>
      </w:r>
      <w:r>
        <w:rPr>
          <w:rFonts w:hint="eastAsia" w:ascii="仿宋" w:hAnsi="仿宋" w:eastAsia="仿宋"/>
          <w:b/>
          <w:bCs/>
          <w:sz w:val="32"/>
          <w:szCs w:val="32"/>
        </w:rPr>
        <w:t>灾害防治及应急管理支出</w:t>
      </w:r>
      <w:r>
        <w:rPr>
          <w:rStyle w:val="20"/>
          <w:rFonts w:hint="eastAsia" w:ascii="仿宋" w:hAnsi="仿宋" w:eastAsia="仿宋"/>
          <w:bCs/>
          <w:sz w:val="32"/>
          <w:szCs w:val="32"/>
        </w:rPr>
        <w:t>（类）应急管理事务（款）其他应急管理支出（项）</w:t>
      </w:r>
      <w:r>
        <w:rPr>
          <w:rStyle w:val="20"/>
          <w:rFonts w:ascii="仿宋" w:hAnsi="仿宋" w:eastAsia="仿宋"/>
          <w:bCs/>
          <w:sz w:val="32"/>
          <w:szCs w:val="32"/>
        </w:rPr>
        <w:t>:</w:t>
      </w:r>
      <w:r>
        <w:rPr>
          <w:rStyle w:val="20"/>
          <w:rFonts w:hint="eastAsia" w:ascii="仿宋" w:hAnsi="仿宋" w:eastAsia="仿宋"/>
          <w:b w:val="0"/>
          <w:bCs/>
          <w:sz w:val="32"/>
          <w:szCs w:val="32"/>
        </w:rPr>
        <w:t>支出决算为289.16万元，完成预算100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tabs>
          <w:tab w:val="right" w:pos="8306"/>
        </w:tabs>
        <w:spacing w:line="600" w:lineRule="exact"/>
        <w:ind w:firstLine="640"/>
        <w:outlineLvl w:val="1"/>
        <w:rPr>
          <w:rStyle w:val="32"/>
        </w:rPr>
      </w:pPr>
      <w:bookmarkStart w:id="50" w:name="_Toc15377214"/>
      <w:bookmarkStart w:id="51" w:name="_Toc15396608"/>
      <w:bookmarkStart w:id="52" w:name="_Toc2246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50"/>
      <w:bookmarkEnd w:id="51"/>
      <w:bookmarkEnd w:id="52"/>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22年一般公共预算财政拨款基本支出1302.90万元，其中：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1080.85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222.05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2"/>
          <w:rFonts w:ascii="黑体" w:hAnsi="黑体" w:eastAsia="黑体"/>
          <w:b w:val="0"/>
        </w:rPr>
      </w:pPr>
      <w:bookmarkStart w:id="53" w:name="_Toc15377215"/>
      <w:bookmarkStart w:id="54" w:name="_Toc15396609"/>
      <w:bookmarkStart w:id="55" w:name="_Toc3257"/>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22年“三公”经费财政拨款支出决算为62.51万元，完成预算100</w:t>
      </w:r>
      <w:r>
        <w:rPr>
          <w:rFonts w:ascii="仿宋" w:hAnsi="仿宋" w:eastAsia="仿宋"/>
          <w:sz w:val="32"/>
          <w:szCs w:val="32"/>
        </w:rPr>
        <w:t>%</w:t>
      </w:r>
      <w:r>
        <w:rPr>
          <w:rFonts w:hint="eastAsia" w:ascii="仿宋" w:hAnsi="仿宋" w:eastAsia="仿宋"/>
          <w:sz w:val="32"/>
          <w:szCs w:val="32"/>
        </w:rPr>
        <w:t>，较上年增加29.72万元，增长90.64%。决算数与预算数持平。</w:t>
      </w:r>
    </w:p>
    <w:p>
      <w:pPr>
        <w:spacing w:line="600" w:lineRule="exact"/>
        <w:ind w:firstLine="640"/>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22年“三公”经费财政拨款支出决算中，因公出国（境）费支出决算0万元，占0.00</w:t>
      </w:r>
      <w:r>
        <w:rPr>
          <w:rFonts w:ascii="仿宋" w:hAnsi="仿宋" w:eastAsia="仿宋"/>
          <w:sz w:val="32"/>
          <w:szCs w:val="32"/>
        </w:rPr>
        <w:t>%</w:t>
      </w:r>
      <w:r>
        <w:rPr>
          <w:rFonts w:hint="eastAsia" w:ascii="仿宋" w:hAnsi="仿宋" w:eastAsia="仿宋"/>
          <w:sz w:val="32"/>
          <w:szCs w:val="32"/>
        </w:rPr>
        <w:t>；公务用车购置及运行维护费支出决算59.01万元，占94.40</w:t>
      </w:r>
      <w:r>
        <w:rPr>
          <w:rFonts w:ascii="仿宋" w:hAnsi="仿宋" w:eastAsia="仿宋"/>
          <w:sz w:val="32"/>
          <w:szCs w:val="32"/>
        </w:rPr>
        <w:t>%</w:t>
      </w:r>
      <w:r>
        <w:rPr>
          <w:rFonts w:hint="eastAsia" w:ascii="仿宋" w:hAnsi="仿宋" w:eastAsia="仿宋"/>
          <w:sz w:val="32"/>
          <w:szCs w:val="32"/>
        </w:rPr>
        <w:t>；公务接待费支出决算3.5万元，占5.6</w:t>
      </w:r>
      <w:r>
        <w:rPr>
          <w:rFonts w:ascii="仿宋" w:hAnsi="仿宋" w:eastAsia="仿宋"/>
          <w:sz w:val="32"/>
          <w:szCs w:val="32"/>
        </w:rPr>
        <w:t>%</w:t>
      </w:r>
      <w:r>
        <w:rPr>
          <w:rFonts w:hint="eastAsia" w:ascii="仿宋" w:hAnsi="仿宋" w:eastAsia="仿宋"/>
          <w:sz w:val="32"/>
          <w:szCs w:val="32"/>
        </w:rPr>
        <w:t>。具体情况如下：</w:t>
      </w:r>
    </w:p>
    <w:p>
      <w:pPr>
        <w:pStyle w:val="2"/>
        <w:rPr>
          <w:rFonts w:ascii="仿宋" w:hAnsi="仿宋" w:eastAsia="仿宋"/>
          <w:sz w:val="32"/>
          <w:szCs w:val="32"/>
        </w:rPr>
      </w:pPr>
      <w:r>
        <w:drawing>
          <wp:inline distT="0" distB="0" distL="114300" distR="114300">
            <wp:extent cx="4562475" cy="2573655"/>
            <wp:effectExtent l="4445" t="4445" r="5080" b="1270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21年持平。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59.01万元,</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21年增加29.96万元，增长103.13</w:t>
      </w:r>
      <w:r>
        <w:rPr>
          <w:rFonts w:ascii="仿宋_GB2312" w:eastAsia="仿宋_GB2312"/>
          <w:sz w:val="32"/>
          <w:szCs w:val="32"/>
        </w:rPr>
        <w:t>%</w:t>
      </w:r>
      <w:r>
        <w:rPr>
          <w:rFonts w:hint="eastAsia" w:ascii="仿宋_GB2312" w:eastAsia="仿宋_GB2312"/>
          <w:sz w:val="32"/>
          <w:szCs w:val="32"/>
        </w:rPr>
        <w:t>。主要原因是购置公务用车1辆。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28.42万元。全年按规定更新购置公务用车1辆，其中：轿车0辆、金额0万元，越野车1辆、金额28.42万元，载客汽车0辆、金额0万元，主要用于应急保障。截至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月底，单位共有公务用车5辆，其中：轿车1辆、越野车5辆、载客汽车1辆。</w:t>
      </w:r>
    </w:p>
    <w:p>
      <w:pPr>
        <w:widowControl/>
        <w:ind w:firstLine="643" w:firstLineChars="200"/>
        <w:jc w:val="left"/>
      </w:pPr>
      <w:r>
        <w:rPr>
          <w:rFonts w:hint="eastAsia" w:ascii="仿宋_GB2312" w:eastAsia="仿宋_GB2312"/>
          <w:b/>
          <w:sz w:val="32"/>
          <w:szCs w:val="32"/>
        </w:rPr>
        <w:t>公务用车运行维护费支出</w:t>
      </w:r>
      <w:r>
        <w:rPr>
          <w:rFonts w:hint="eastAsia" w:ascii="仿宋_GB2312" w:eastAsia="仿宋_GB2312"/>
          <w:sz w:val="32"/>
          <w:szCs w:val="32"/>
        </w:rPr>
        <w:t>30.59万元。用于7辆公务用车燃油、维修、保险、过路过桥费等方面支出，主要保障应急管理、安全生产、防灾减灾救灾等工作开展。</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3.5万元，</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21年减少0.24万元，下降6.42</w:t>
      </w:r>
      <w:r>
        <w:rPr>
          <w:rFonts w:ascii="仿宋_GB2312" w:eastAsia="仿宋_GB2312"/>
          <w:sz w:val="32"/>
          <w:szCs w:val="32"/>
        </w:rPr>
        <w:t>%</w:t>
      </w:r>
      <w:r>
        <w:rPr>
          <w:rFonts w:hint="eastAsia" w:ascii="仿宋_GB2312" w:eastAsia="仿宋_GB2312"/>
          <w:sz w:val="32"/>
          <w:szCs w:val="32"/>
        </w:rPr>
        <w:t>。主要原因是</w:t>
      </w:r>
      <w:r>
        <w:rPr>
          <w:rFonts w:ascii="仿宋" w:hAnsi="仿宋" w:eastAsia="仿宋" w:cs="仿宋"/>
          <w:color w:val="333333"/>
          <w:sz w:val="32"/>
          <w:szCs w:val="32"/>
          <w:shd w:val="clear" w:color="auto" w:fill="FFFFFF"/>
        </w:rPr>
        <w:t>厉行节约</w:t>
      </w:r>
      <w:r>
        <w:rPr>
          <w:rFonts w:hint="eastAsia" w:ascii="仿宋" w:hAnsi="仿宋" w:eastAsia="仿宋" w:cs="仿宋"/>
          <w:color w:val="333333"/>
          <w:sz w:val="32"/>
          <w:szCs w:val="32"/>
          <w:shd w:val="clear" w:color="auto" w:fill="FFFFFF"/>
        </w:rPr>
        <w:t> 2022年公务接待费用减少</w:t>
      </w:r>
      <w:r>
        <w:rPr>
          <w:rFonts w:hint="eastAsia" w:ascii="仿宋_GB2312" w:eastAsia="仿宋_GB2312"/>
          <w:sz w:val="32"/>
          <w:szCs w:val="32"/>
        </w:rPr>
        <w:t>。</w:t>
      </w:r>
    </w:p>
    <w:p>
      <w:pPr>
        <w:spacing w:line="600" w:lineRule="exact"/>
        <w:ind w:firstLine="640"/>
        <w:rPr>
          <w:rFonts w:ascii="仿宋_GB2312" w:eastAsia="仿宋_GB2312"/>
          <w:sz w:val="32"/>
          <w:szCs w:val="32"/>
        </w:rPr>
      </w:pPr>
      <w:bookmarkStart w:id="58" w:name="_Toc15377218"/>
      <w:bookmarkStart w:id="59" w:name="_Toc15396610"/>
      <w:r>
        <w:rPr>
          <w:rFonts w:hint="eastAsia" w:ascii="仿宋" w:hAnsi="仿宋" w:eastAsia="仿宋"/>
          <w:b/>
          <w:sz w:val="32"/>
          <w:szCs w:val="32"/>
        </w:rPr>
        <w:t>国内公务接待支出</w:t>
      </w:r>
      <w:r>
        <w:rPr>
          <w:rFonts w:hint="eastAsia" w:ascii="仿宋" w:hAnsi="仿宋" w:eastAsia="仿宋"/>
          <w:sz w:val="32"/>
          <w:szCs w:val="32"/>
        </w:rPr>
        <w:t>3.5</w:t>
      </w:r>
      <w:r>
        <w:rPr>
          <w:rFonts w:hint="eastAsia" w:ascii="仿宋_GB2312" w:eastAsia="仿宋_GB2312"/>
          <w:sz w:val="32"/>
          <w:szCs w:val="32"/>
        </w:rPr>
        <w:t>万元，主要用于执行公务、开展业务活动开支的交通费、住宿费、用餐费等。国内公务接待32批次，300人次，共计支出3.50万元，具体内容包括：接待内江安全生产交叉检查，金额0.25万元；接待省有限空间作业安全生产与专项检查，金额0.12万元、接待省安委会办公室安全生产大检查督导组，金额0.10万元；接待省安委会第八督查组，接待金额0.10万元；接待省第二联合检查组应急救援能力提升，金额0.13万元；接待防汛减灾和地质灾害防治督查，金额0.12万元；接待省应急厅2022年下半年烟花爆竹生产经营安全检查，金额0.09万元；接待省2022年春节及全国两会期间安全生产专项督查组，金额0.13万元；接待广安安全生产交叉检查，金额0.13万元；接待潼南应急考察，金额0.17万元；接待省应急厅到遂宁开展工贸行业安全检查，金额0.14万元；接待四川古蔺郎酒考察学校，金额0.22万元；接待省厅到遂宁开展互联网+执法系统督导，0.06万元；接待国家减灾委、应急部赴随开展救助接待，金额0.17万元；接待省应急厅调研专业应急救援基础建设准备工作，金额0.08万元；接待省森林草原防灭火机动巡回工作组，金额0.06万元；接待省督导组督导遂宁防汛抗旱和地质灾害防治工作，金额0.28万元；接待督查组，金额0.15万元；接待阿坝州应急局交叉检查，金额0.12万元；接待四川省森林消防总队检查汛情，金额0.07万元；接待省气象局督查防汛抗旱和地质灾害防治工作，金额0.15万元；接待省安科院工业化所，金额0.08万元，接待省教官团，金额0.09万元；接待省森林草原方灭火、防汛抗旱督导组，金额0.07万元；接待森林草原防灭火专项督导组，金额0.07万元；接待省厅调研组，金额0.07；接待省安委办，0.0.17万元；为杨洋同志送喜报公务接待，金额0.11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32"/>
          <w:rFonts w:ascii="黑体" w:hAnsi="黑体" w:eastAsia="黑体"/>
        </w:rPr>
      </w:pPr>
      <w:bookmarkStart w:id="60" w:name="_Toc8138"/>
      <w:r>
        <w:rPr>
          <w:rFonts w:hint="eastAsia" w:ascii="黑体" w:eastAsia="黑体"/>
          <w:sz w:val="32"/>
          <w:szCs w:val="32"/>
        </w:rPr>
        <w:t>八、</w:t>
      </w:r>
      <w:r>
        <w:rPr>
          <w:rStyle w:val="32"/>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32"/>
          <w:rFonts w:ascii="黑体" w:hAnsi="黑体" w:eastAsia="黑体"/>
          <w:b w:val="0"/>
        </w:rPr>
      </w:pPr>
      <w:bookmarkStart w:id="61" w:name="_Toc15396611"/>
      <w:bookmarkStart w:id="62" w:name="_Toc15377219"/>
      <w:bookmarkStart w:id="63" w:name="_Toc28458"/>
      <w:r>
        <w:rPr>
          <w:rStyle w:val="32"/>
          <w:rFonts w:hint="eastAsia" w:ascii="黑体" w:hAnsi="黑体" w:eastAsia="黑体"/>
          <w:b w:val="0"/>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32"/>
          <w:rFonts w:ascii="黑体" w:hAnsi="黑体" w:eastAsia="黑体"/>
          <w:b w:val="0"/>
        </w:rPr>
      </w:pPr>
      <w:bookmarkStart w:id="64" w:name="_Toc15377221"/>
      <w:bookmarkStart w:id="65" w:name="_Toc15396612"/>
      <w:bookmarkStart w:id="66" w:name="_Toc19460"/>
      <w:r>
        <w:rPr>
          <w:rStyle w:val="32"/>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22年，遂宁市应急管理局机关运行经费支出</w:t>
      </w:r>
      <w:r>
        <w:rPr>
          <w:rFonts w:hint="eastAsia" w:ascii="仿宋" w:hAnsi="仿宋" w:eastAsia="仿宋" w:cs="仿宋"/>
          <w:color w:val="333333"/>
          <w:sz w:val="32"/>
          <w:szCs w:val="32"/>
          <w:shd w:val="clear" w:color="auto" w:fill="FFFFFF"/>
        </w:rPr>
        <w:t>192.44万元，比 2021年减少16.85万元，减少8.05%。主要原因是厉行节约，减少机关运行经费支出。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22年，遂宁市应急管理局政府采购支出总额0万元，其中：政府采购货物支出0万元、政府采购工程支出0万元、政府采购服务支出0万元。授予中小企业合同金额0万元，占政府采购支出总额的0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日，遂宁市应急管理局共有车辆7辆，其中：主要领导干部用车0辆、机要通信用车0辆、应急保障用车6辆、</w:t>
      </w:r>
      <w:r>
        <w:rPr>
          <w:rFonts w:hint="eastAsia" w:ascii="仿宋" w:hAnsi="仿宋" w:eastAsia="仿宋" w:cs="仿宋"/>
          <w:sz w:val="32"/>
          <w:szCs w:val="32"/>
        </w:rPr>
        <w:t>特种专业技术用车1辆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6"/>
        <w:spacing w:before="187"/>
        <w:ind w:firstLine="640" w:firstLineChars="200"/>
        <w:rPr>
          <w:rFonts w:hAnsi="仿宋_GB2312" w:cs="仿宋_GB2312"/>
          <w:sz w:val="32"/>
          <w:szCs w:val="32"/>
        </w:rPr>
      </w:pPr>
      <w:bookmarkStart w:id="70" w:name="_Toc15377225"/>
      <w:bookmarkStart w:id="71" w:name="_Toc15396613"/>
      <w:bookmarkStart w:id="72" w:name="_Toc26228"/>
      <w:r>
        <w:rPr>
          <w:rFonts w:hint="eastAsia" w:hAnsi="仿宋_GB2312" w:cs="仿宋_GB2312"/>
          <w:sz w:val="32"/>
          <w:szCs w:val="32"/>
        </w:rPr>
        <w:t>根据预算绩效管理要求，本单位在2022年度预算编制阶段，组织对应急管理保障服务项目、专家服务及委托业务费项目等2个项目开展了预算事前绩效评估，对71个项目编制了绩效目标，预算执行过程中，选取8个项目开展绩效监控，组织对8个项目开展绩效自评，绩效自评表详见第四部分附件。</w:t>
      </w: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ind w:firstLine="0"/>
        <w:rPr>
          <w:rFonts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31"/>
          <w:rFonts w:ascii="黑体" w:hAnsi="黑体" w:eastAsia="黑体"/>
          <w:b w:val="0"/>
        </w:rPr>
      </w:pPr>
      <w:r>
        <w:rPr>
          <w:rFonts w:hint="eastAsia" w:ascii="黑体" w:hAnsi="黑体" w:eastAsia="黑体"/>
          <w:sz w:val="44"/>
          <w:szCs w:val="44"/>
        </w:rPr>
        <w:t>名</w:t>
      </w:r>
      <w:r>
        <w:rPr>
          <w:rStyle w:val="31"/>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14"/>
        <w:widowControl/>
        <w:shd w:val="clear" w:color="auto" w:fill="FFFFFF"/>
        <w:spacing w:beforeAutospacing="0" w:after="150" w:afterAutospacing="0"/>
        <w:jc w:val="both"/>
        <w:outlineLvl w:val="1"/>
        <w:rPr>
          <w:rFonts w:ascii="仿宋_GB2312" w:hAnsi="仿宋_GB2312" w:eastAsia="仿宋_GB2312" w:cs="仿宋_GB2312"/>
          <w:sz w:val="32"/>
          <w:szCs w:val="32"/>
        </w:rPr>
      </w:pPr>
      <w:bookmarkStart w:id="73" w:name="_Toc3678"/>
      <w:r>
        <w:rPr>
          <w:rFonts w:hint="eastAsia" w:ascii="仿宋_GB2312" w:hAnsi="仿宋_GB2312" w:eastAsia="仿宋_GB2312" w:cs="仿宋_GB2312"/>
          <w:sz w:val="32"/>
          <w:szCs w:val="32"/>
        </w:rPr>
        <w:t>1.财政拨款收入：指单位从同级财政部门取得的财政预算资金。</w:t>
      </w:r>
      <w:bookmarkEnd w:id="73"/>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14"/>
        <w:widowControl/>
        <w:shd w:val="clear" w:color="auto" w:fill="FFFFFF"/>
        <w:spacing w:beforeAutospacing="0" w:after="150" w:afterAutospacing="0"/>
        <w:jc w:val="both"/>
        <w:outlineLvl w:val="1"/>
        <w:rPr>
          <w:rFonts w:ascii="仿宋_GB2312" w:hAnsi="仿宋_GB2312" w:eastAsia="仿宋_GB2312" w:cs="仿宋_GB2312"/>
          <w:sz w:val="32"/>
          <w:szCs w:val="32"/>
        </w:rPr>
      </w:pPr>
      <w:bookmarkStart w:id="74" w:name="_Toc21091"/>
      <w:r>
        <w:rPr>
          <w:rFonts w:hint="eastAsia" w:ascii="仿宋_GB2312" w:hAnsi="仿宋_GB2312" w:eastAsia="仿宋_GB2312" w:cs="仿宋_GB2312"/>
          <w:sz w:val="32"/>
          <w:szCs w:val="32"/>
        </w:rPr>
        <w:t>4.其他收入：指单位取得的除上述收入以外的各项收入。</w:t>
      </w:r>
      <w:bookmarkEnd w:id="74"/>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5.使用非财政拨款结余：指事业单位使用以前年度积累的非财政拨款结余弥补当年收支差额的金额。 </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 </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9.社会保障和就业支出（类）行政事业单位养老支出(款）机关事业单位基本养老保险缴费支出（项):指用于在职职工养老保险支出。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10.社会保障和就业支出（类）行政事业单位养老支出(款)行政单位离退休(项)∶指用于离退休人员公用经费、医疗费补助。</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11.卫生健康支出（类）行政事业单位医疗（款）行政单位医疗(项):指用于行政单位在职职工的医疗保险支出。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12.卫生健康支出（类）行政事业单位医疗（款）事业单位医疗（项):指用于事业单位在职职工的医疗保险支出。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13.住房保障支出（类）住房改革支出（款）住房公积金（项):指用于行政事业单位职工缴纳住房公积金。</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14.灾害防治及应急管理支出（类）应急管理事务（款)行政运行（项):用于保障机构正常运转的日常支出，包括基本工资、津贴补贴等人员经费以及办公费、印刷费、水电费等日常公用经费。</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15.灾害防治及应急管理支出（类）应急管理事务（款)一般行政管理事务（项)︰指保障厅机关为完成特定的行政工作任务或事业发展目标，用于专项业务工作的经费支出。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16.灾害防治及应急管理支出（类）应急管理事务（款)安全监管（项)︰指保障厅机关为完成特定的行政工作任务或事业发展目标，用于安全生产监管方面的专项业务工作经费支出。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17.灾害防治及应急管理支出（类）应急管理事务（款)事业运行（项):指用于单位人员工资福利支出、日常运转等工作经费。</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18.灾害防治及应急管理支出（类）应急管理事务（款)其他应急管理事项（项):指政府用于自然灾害防治、安全生产监管及应急管理等方面中的其他应急管理方面的支出。</w:t>
      </w:r>
    </w:p>
    <w:p>
      <w:pPr>
        <w:pStyle w:val="14"/>
        <w:widowControl/>
        <w:shd w:val="clear" w:color="auto" w:fill="FFFFFF"/>
        <w:spacing w:beforeAutospacing="0" w:after="15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19.住房保障支出（类）住房改革支出（款）住房公积金（项):指用于行政事业单位职工缴纳住房公积金。</w:t>
      </w:r>
    </w:p>
    <w:p>
      <w:pPr>
        <w:widowControl/>
        <w:shd w:val="clear" w:color="auto" w:fill="FFFFFF"/>
        <w:spacing w:after="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20.基本支出：指为保障机构正常运转、完成日常工作任务而发生的人员支出和公用支出。</w:t>
      </w:r>
    </w:p>
    <w:p>
      <w:pPr>
        <w:widowControl/>
        <w:shd w:val="clear" w:color="auto" w:fill="FFFFFF"/>
        <w:spacing w:after="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21.项目支出：指在基本支出之外为完成特定行政任务和事业发展目标所发生的支出。 </w:t>
      </w:r>
    </w:p>
    <w:p>
      <w:pPr>
        <w:widowControl/>
        <w:shd w:val="clear" w:color="auto" w:fill="FFFFFF"/>
        <w:spacing w:after="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22.经营支出：指事业单位在专业业务活动及其辅助活动之外开展非独立核算经营活动发生的支出。</w:t>
      </w:r>
    </w:p>
    <w:p>
      <w:pPr>
        <w:pStyle w:val="14"/>
        <w:widowControl/>
        <w:shd w:val="clear" w:color="auto" w:fill="FFFFFF"/>
        <w:spacing w:beforeAutospacing="0" w:after="150" w:afterAutospacing="0" w:line="56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23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1"/>
          <w:rFonts w:ascii="黑体" w:hAnsi="黑体" w:eastAsia="黑体"/>
          <w:b w:val="0"/>
        </w:rPr>
      </w:pPr>
      <w:bookmarkStart w:id="75" w:name="_Toc15377226"/>
      <w:r>
        <w:rPr>
          <w:rFonts w:ascii="宋体"/>
          <w:b/>
          <w:sz w:val="44"/>
          <w:szCs w:val="44"/>
        </w:rPr>
        <w:br w:type="page"/>
      </w:r>
      <w:bookmarkStart w:id="76" w:name="_Toc15396614"/>
      <w:bookmarkStart w:id="77" w:name="_Toc11961"/>
      <w:r>
        <w:rPr>
          <w:rFonts w:hint="eastAsia" w:ascii="黑体" w:hAnsi="黑体" w:eastAsia="黑体"/>
          <w:sz w:val="44"/>
          <w:szCs w:val="44"/>
        </w:rPr>
        <w:t>第</w:t>
      </w:r>
      <w:r>
        <w:rPr>
          <w:rStyle w:val="31"/>
          <w:rFonts w:hint="eastAsia" w:ascii="黑体" w:hAnsi="黑体" w:eastAsia="黑体"/>
          <w:b w:val="0"/>
        </w:rPr>
        <w:t>四部分 附件</w:t>
      </w:r>
      <w:bookmarkEnd w:id="76"/>
      <w:bookmarkEnd w:id="77"/>
    </w:p>
    <w:p>
      <w:pPr>
        <w:spacing w:line="620" w:lineRule="exact"/>
        <w:jc w:val="center"/>
        <w:rPr>
          <w:b/>
          <w:bCs/>
          <w:sz w:val="44"/>
          <w:szCs w:val="44"/>
          <w:shd w:val="clear" w:color="auto" w:fill="FFFFFF"/>
        </w:rPr>
      </w:pPr>
    </w:p>
    <w:p>
      <w:pPr>
        <w:spacing w:line="620" w:lineRule="exact"/>
        <w:jc w:val="center"/>
        <w:rPr>
          <w:rFonts w:hint="eastAsia" w:ascii="方正小标宋简体" w:eastAsia="方正小标宋简体"/>
          <w:bCs/>
          <w:sz w:val="44"/>
          <w:szCs w:val="44"/>
          <w:shd w:val="clear" w:color="auto" w:fill="FFFFFF"/>
        </w:rPr>
      </w:pPr>
      <w:bookmarkStart w:id="78" w:name="_Toc25089"/>
      <w:bookmarkStart w:id="79" w:name="_Toc15396618"/>
      <w:r>
        <w:rPr>
          <w:rFonts w:hint="eastAsia" w:ascii="方正小标宋简体" w:eastAsia="方正小标宋简体"/>
          <w:bCs/>
          <w:sz w:val="44"/>
          <w:szCs w:val="44"/>
          <w:shd w:val="clear" w:color="auto" w:fill="FFFFFF"/>
        </w:rPr>
        <w:t>遂宁市应急管理局</w:t>
      </w:r>
    </w:p>
    <w:p>
      <w:pPr>
        <w:spacing w:line="620" w:lineRule="exact"/>
        <w:jc w:val="center"/>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2023年部门整体支出绩效自评报告</w:t>
      </w:r>
    </w:p>
    <w:p>
      <w:pPr>
        <w:snapToGrid w:val="0"/>
        <w:spacing w:line="580" w:lineRule="exact"/>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市财政局：</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 xml:space="preserve"> 根据《遂宁市财政局关于开展2023年部门、项目、政策支出绩效自评工作的通知》（遂财绩〔2023〕2号）的通知精神，我局对2022年整体支出情况开展了绩效整体自评工作，现将整体支出绩效报告如下：</w:t>
      </w:r>
    </w:p>
    <w:p>
      <w:pPr>
        <w:widowControl/>
        <w:adjustRightInd w:val="0"/>
        <w:snapToGrid w:val="0"/>
        <w:spacing w:line="620"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rPr>
        <w:t>一、</w:t>
      </w:r>
      <w:r>
        <w:rPr>
          <w:rFonts w:eastAsia="黑体"/>
          <w:kern w:val="0"/>
          <w:sz w:val="32"/>
          <w:szCs w:val="32"/>
          <w:shd w:val="clear" w:color="auto" w:fill="FFFFFF"/>
          <w:lang w:val="zh-CN"/>
        </w:rPr>
        <w:t>部门（单位）概况</w:t>
      </w:r>
    </w:p>
    <w:p>
      <w:pPr>
        <w:spacing w:line="620" w:lineRule="exact"/>
        <w:ind w:firstLine="640" w:firstLineChars="200"/>
        <w:jc w:val="left"/>
        <w:rPr>
          <w:rFonts w:eastAsia="楷体_GB2312"/>
          <w:sz w:val="32"/>
          <w:szCs w:val="32"/>
          <w:shd w:val="clear" w:color="auto" w:fill="FFFFFF"/>
          <w:lang w:val="zh-CN"/>
        </w:rPr>
      </w:pPr>
      <w:r>
        <w:rPr>
          <w:rFonts w:eastAsia="楷体_GB2312"/>
          <w:sz w:val="32"/>
          <w:szCs w:val="32"/>
          <w:shd w:val="clear" w:color="auto" w:fill="FFFFFF"/>
          <w:lang w:val="zh-CN"/>
        </w:rPr>
        <w:t>（一）机构组成。</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遂宁市应急管理局（简称市应急局）属经市委机构编制委员会全体会议审议后，报市委、市政府批准设立的遂宁市人民政府工作部门，文号（遂委办〔2019〕61号），时间为2019年3月。属市财政全额拨款的行政预算单位，现位于遂宁市环岛商务中心5号楼5楼。市应急局下属单位4个，其中参照公务员法管理的事业单位1个，公益一类事业单位3个。主要包括：遂宁市安全生产监察执法支队、遂宁市应急和安全生产信息中心、遂宁市应急指挥保障中心、遂宁市减灾中心。</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遂宁市应急管理局设8个内设机构：</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1.办公室。</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2.应急救援科（预案管理科）。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3.法规宣传培训科（行政审批科）。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4.救灾与物资保障科。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5.火灾防治管理科。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6.安全生产综合协调科。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7.安全生产基础管理科（调查与评估科）。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8.危险化学品安全监管科。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9.水旱与地震地灾救援科。</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10.机关党委办公室（人事科）。</w:t>
      </w:r>
    </w:p>
    <w:p>
      <w:pPr>
        <w:spacing w:line="620" w:lineRule="exact"/>
        <w:ind w:firstLine="640" w:firstLineChars="200"/>
        <w:jc w:val="left"/>
        <w:rPr>
          <w:rFonts w:eastAsia="楷体_GB2312"/>
          <w:sz w:val="32"/>
          <w:szCs w:val="32"/>
          <w:shd w:val="clear" w:color="auto" w:fill="FFFFFF"/>
          <w:lang w:val="zh-CN"/>
        </w:rPr>
      </w:pPr>
      <w:r>
        <w:rPr>
          <w:rFonts w:eastAsia="楷体_GB2312"/>
          <w:sz w:val="32"/>
          <w:szCs w:val="32"/>
          <w:shd w:val="clear" w:color="auto" w:fill="FFFFFF"/>
          <w:lang w:val="zh-CN"/>
        </w:rPr>
        <w:t>（二）机构职能。</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1.负责应急管理工作，组织和指导各地、各部门应对安全生产类、自然灾害类等突发事件和综合防灾减灾救灾工作。负责安全生产综合监督管理和工矿商贸行业安全生产监督管理工作。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2.拟订应急管理、安全生产等政策措施，组织编制应急体系建设、安全生产和综合防灾减灾规划，起草有关规章草案。</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4.牵头建立统一的应急管理信息系统，负责信息传输渠道的规划和布局，建立监测预警和灾情报告制度，健全自然灾害信息资源获取和共享机制，依法统一发布灾情。</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5.负责组织、指导、协调安全生产类、自然灾害类等突发事件应急救援，承担全市应对较大及以上灾害指挥部工作，综合研判突发事件发展态势并提出应对建议，负责组织较大及以上灾害应急处置工作。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6.统一协调指挥各类应急专业队伍，建立应急协调联动机制，推进指挥平台对接。</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7.按照国家和省相关政策和规定负责消防、森林火灾扑救、抗洪抢险、地震和地质灾害救援、生产安全事故救援等专业应急救援力量建设，依法依规统筹指导各地及社会应急救援力量和应急保障能力建设。</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8.按照国家和省相关政策和市委、市政府相关规定负责消防工作，组织和指导消防监督、火灾预防、火灾扑救等工作。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9.负责自然灾害综合监测预警工作，承担自然灾害综合风险评估工作，负责地震防御工作，指导协调森林火灾、水旱灾害和地质灾害等防治工作。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10.负责组织、协调灾害救助工作，组织和指导灾情核查、损失评估、救灾捐赠工作，管理、分配救灾款物并监督使用。</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11.依法承担市政府安全生产综合监督管理责任，指导协调、监督检查各县（区）政府和市直有关部门安全生产工作，组织开展安全生产巡查、考核工作。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12.按照分级、属地原则，依法监督检查工矿商贸生产经营单位贯彻执行安全生产法律法规情况及其安全生产条件和有关设备（特种设备除外）、材料、劳动防护用品的安全生产管理工作。协助做好中央、省在遂工矿商贸企业安全生产监督管理工作。负责危险化学品安全监督管理综合工作和烟花爆竹安全生产监督管理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13.承担非煤矿山、危险化学品、非药品类易制毒化学品和烟花爆竹等生产经营单位安全生产准入管理责任。</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14.依法组织、指导生产安全事故调查处理，监督事故查处和责任追究落实情况。组织开展自然灾害类突发事件的调查评估工作。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15.开展应急管理和安全生产方面的交流与合作，组织参与安全生产类、自然灾害类等突发事件的跨区域救援工作。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16.制定应急物资储备和应急救援装备规划并组织实施，会同市发展和改革委员会等部门建立健全应急物资信息平台和调拨制度，在救灾时统一调度。</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17.负责应急管理、安全生产宣传教育和培训工作，组织和指导应急管理、安全生产的科学技术研究、推广应用和信息化建设工作。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18.负责职责范围内的职业健康、生态环境保护、审批服务便民化等工作。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19.完成市委和市政府交办的其他任务。</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620" w:lineRule="exact"/>
        <w:ind w:firstLine="640" w:firstLineChars="200"/>
        <w:jc w:val="left"/>
        <w:rPr>
          <w:rFonts w:eastAsia="楷体_GB2312"/>
          <w:sz w:val="32"/>
          <w:szCs w:val="32"/>
          <w:shd w:val="clear" w:color="auto" w:fill="FFFFFF"/>
          <w:lang w:val="zh-CN"/>
        </w:rPr>
      </w:pPr>
      <w:r>
        <w:rPr>
          <w:rFonts w:eastAsia="楷体_GB2312"/>
          <w:sz w:val="32"/>
          <w:szCs w:val="32"/>
          <w:shd w:val="clear" w:color="auto" w:fill="FFFFFF"/>
          <w:lang w:val="zh-CN"/>
        </w:rPr>
        <w:t>（三）人员概况。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核定编制64人，其中行编28人，参公编10人，事业编26人。实有人数57人，其中有县级领导干部7人，调研员2人，科级领导干部9人，其他9人,参公人员6人，事业编人员24人。</w:t>
      </w:r>
    </w:p>
    <w:p>
      <w:pPr>
        <w:widowControl/>
        <w:adjustRightInd w:val="0"/>
        <w:snapToGrid w:val="0"/>
        <w:spacing w:line="62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pPr>
        <w:spacing w:line="620" w:lineRule="exact"/>
        <w:ind w:firstLine="640" w:firstLineChars="200"/>
        <w:jc w:val="left"/>
        <w:rPr>
          <w:rFonts w:eastAsia="楷体_GB2312"/>
          <w:sz w:val="32"/>
          <w:szCs w:val="32"/>
          <w:shd w:val="clear" w:color="auto" w:fill="FFFFFF"/>
          <w:lang w:val="zh-CN"/>
        </w:rPr>
      </w:pPr>
      <w:r>
        <w:rPr>
          <w:rFonts w:eastAsia="楷体_GB2312"/>
          <w:sz w:val="32"/>
          <w:szCs w:val="32"/>
          <w:shd w:val="clear" w:color="auto" w:fill="FFFFFF"/>
          <w:lang w:val="zh-CN"/>
        </w:rPr>
        <w:t>（一）部门财政资金收入情况。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2022年度，遂宁市市应急管理局（含所属单位）年初预算为1448.94万元，其中年初财政拨款收入1448.94万元，年初结转结余0.00万元，中期调整1105.5万元，其他收入</w:t>
      </w:r>
      <w:r>
        <w:rPr>
          <w:rStyle w:val="32"/>
          <w:rFonts w:hint="eastAsia" w:ascii="仿宋" w:hAnsi="仿宋" w:eastAsia="仿宋"/>
          <w:b w:val="0"/>
          <w:bCs w:val="0"/>
          <w:lang w:val="en-US" w:eastAsia="zh-CN" w:bidi="ar-SA"/>
        </w:rPr>
        <w:t>0</w:t>
      </w:r>
      <w:r>
        <w:rPr>
          <w:rStyle w:val="32"/>
          <w:rFonts w:hint="eastAsia" w:ascii="仿宋" w:hAnsi="仿宋" w:eastAsia="仿宋"/>
          <w:b w:val="0"/>
          <w:bCs w:val="0"/>
          <w:lang w:val="zh-CN" w:eastAsia="zh-CN" w:bidi="ar-SA"/>
        </w:rPr>
        <w:t>万元，调整后预算收入总额为2554.45万元。具体情况详见表2-1：</w:t>
      </w:r>
    </w:p>
    <w:p>
      <w:pPr>
        <w:spacing w:line="579" w:lineRule="exact"/>
        <w:ind w:firstLine="420" w:firstLineChars="200"/>
        <w:jc w:val="center"/>
        <w:rPr>
          <w:rFonts w:hint="eastAsia" w:ascii="仿宋_GB2312" w:hAnsi="仿宋" w:cs="华文仿宋"/>
          <w:szCs w:val="32"/>
        </w:rPr>
      </w:pPr>
      <w:r>
        <w:rPr>
          <w:rFonts w:hint="eastAsia" w:ascii="仿宋_GB2312" w:hAnsi="仿宋" w:cs="华文仿宋"/>
          <w:szCs w:val="32"/>
        </w:rPr>
        <w:t>表2-1年度预算表</w:t>
      </w:r>
    </w:p>
    <w:p>
      <w:pPr>
        <w:spacing w:line="579" w:lineRule="exact"/>
        <w:ind w:firstLine="420" w:firstLineChars="200"/>
        <w:jc w:val="right"/>
        <w:rPr>
          <w:rFonts w:ascii="仿宋_GB2312" w:hAnsi="仿宋" w:cs="华文仿宋"/>
          <w:szCs w:val="32"/>
        </w:rPr>
      </w:pPr>
      <w:r>
        <w:rPr>
          <w:rFonts w:hint="eastAsia" w:ascii="仿宋_GB2312" w:hAnsi="仿宋" w:cs="华文仿宋"/>
          <w:szCs w:val="32"/>
        </w:rPr>
        <w:t>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2147"/>
        <w:gridCol w:w="2131"/>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项目名称</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年初预算</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中期调整</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一、一般公共预算财政拨款收入</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1448.94</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1105.5</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2554.45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二、其他收入</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0.00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0.00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年初结转结余</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总计</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1448.94</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1105.5</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2554.45</w:t>
            </w:r>
          </w:p>
        </w:tc>
      </w:tr>
    </w:tbl>
    <w:p>
      <w:pPr>
        <w:spacing w:line="579" w:lineRule="exact"/>
        <w:ind w:firstLine="420" w:firstLineChars="200"/>
        <w:rPr>
          <w:rFonts w:ascii="仿宋_GB2312" w:hAnsi="仿宋" w:cs="华文仿宋"/>
          <w:szCs w:val="32"/>
        </w:rPr>
      </w:pPr>
    </w:p>
    <w:p>
      <w:pPr>
        <w:spacing w:line="620" w:lineRule="exact"/>
        <w:ind w:firstLine="640" w:firstLineChars="200"/>
        <w:jc w:val="left"/>
        <w:rPr>
          <w:rFonts w:eastAsia="楷体_GB2312"/>
          <w:sz w:val="32"/>
          <w:szCs w:val="32"/>
          <w:shd w:val="clear" w:color="auto" w:fill="FFFFFF"/>
          <w:lang w:val="zh-CN"/>
        </w:rPr>
      </w:pPr>
      <w:r>
        <w:rPr>
          <w:rFonts w:hint="eastAsia" w:eastAsia="楷体_GB2312"/>
          <w:sz w:val="32"/>
          <w:szCs w:val="32"/>
          <w:shd w:val="clear" w:color="auto" w:fill="FFFFFF"/>
          <w:lang w:val="en-US" w:eastAsia="zh-CN"/>
        </w:rPr>
        <w:t>(二）</w:t>
      </w:r>
      <w:r>
        <w:rPr>
          <w:rFonts w:eastAsia="楷体_GB2312"/>
          <w:sz w:val="32"/>
          <w:szCs w:val="32"/>
          <w:shd w:val="clear" w:color="auto" w:fill="FFFFFF"/>
          <w:lang w:val="zh-CN"/>
        </w:rPr>
        <w:t>部门财政资金支出情况。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2022年度，遂宁市应急管理局（含所属单位）财政支出年初预算为1448.94万元，中期调整为1105.50万元，调整后预算支出总额为2554.45万元，部门支出预算执行总额为1945.69万元，部门总体执行进度为76.17%，其中：基本支出预算总额为1373.02万元，基本支出执行总额为1307.87万元，基本支出总体执行进度95.25%；项目支出预算总额为1181.43万元，项目支出执行总额为637.82万元，项目支出总体执行进度53.99%。具体情况详见表2-2。</w:t>
      </w:r>
    </w:p>
    <w:p>
      <w:pPr>
        <w:widowControl/>
        <w:adjustRightInd w:val="0"/>
        <w:snapToGrid w:val="0"/>
        <w:spacing w:line="580" w:lineRule="exact"/>
        <w:ind w:firstLine="631"/>
        <w:contextualSpacing/>
        <w:jc w:val="center"/>
        <w:rPr>
          <w:rFonts w:hint="eastAsia" w:ascii="仿宋_GB2312" w:hAnsi="宋体" w:cs="宋体"/>
          <w:kern w:val="0"/>
          <w:szCs w:val="32"/>
          <w:shd w:val="clear" w:color="auto" w:fill="FFFFFF"/>
        </w:rPr>
      </w:pPr>
      <w:r>
        <w:rPr>
          <w:rFonts w:hint="eastAsia" w:ascii="仿宋_GB2312" w:hAnsi="宋体" w:cs="宋体"/>
          <w:kern w:val="0"/>
          <w:szCs w:val="32"/>
          <w:shd w:val="clear" w:color="auto" w:fill="FFFFFF"/>
        </w:rPr>
        <w:t>表2-2年度预算执行表</w:t>
      </w:r>
    </w:p>
    <w:p>
      <w:pPr>
        <w:widowControl/>
        <w:adjustRightInd w:val="0"/>
        <w:snapToGrid w:val="0"/>
        <w:spacing w:line="580" w:lineRule="exact"/>
        <w:ind w:firstLine="631"/>
        <w:contextualSpacing/>
        <w:jc w:val="right"/>
        <w:rPr>
          <w:rFonts w:hint="eastAsia" w:ascii="仿宋_GB2312" w:hAnsi="宋体" w:cs="宋体"/>
          <w:kern w:val="0"/>
          <w:szCs w:val="32"/>
          <w:shd w:val="clear" w:color="auto" w:fill="FFFFFF"/>
        </w:rPr>
      </w:pPr>
      <w:r>
        <w:rPr>
          <w:rFonts w:hint="eastAsia" w:ascii="仿宋_GB2312" w:hAnsi="宋体" w:cs="宋体"/>
          <w:kern w:val="0"/>
          <w:szCs w:val="32"/>
          <w:shd w:val="clear" w:color="auto" w:fill="FFFFFF"/>
        </w:rPr>
        <w:t>单位：万元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441"/>
        <w:gridCol w:w="1294"/>
        <w:gridCol w:w="1565"/>
        <w:gridCol w:w="144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项目名称</w:t>
            </w:r>
          </w:p>
        </w:tc>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年初预算</w:t>
            </w:r>
          </w:p>
        </w:tc>
        <w:tc>
          <w:tcPr>
            <w:tcW w:w="1392"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中期调整</w:t>
            </w:r>
          </w:p>
        </w:tc>
        <w:tc>
          <w:tcPr>
            <w:tcW w:w="1704"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年度总预算</w:t>
            </w:r>
          </w:p>
        </w:tc>
        <w:tc>
          <w:tcPr>
            <w:tcW w:w="1548"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预算执行</w:t>
            </w:r>
          </w:p>
        </w:tc>
        <w:tc>
          <w:tcPr>
            <w:tcW w:w="1548"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一、基本支出</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894.44</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478.57</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1373.02</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1307.87</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人员经费</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657.55</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482.13</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1139.68</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1119.79</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公用经费</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236.89</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-3.56</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233.34</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188.08</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二、项目支出</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554.5</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626.93</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1181.43</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637.82</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53.99%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总计</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1448.94</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1105.5</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2554.45</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1945.69</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76.17%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hint="eastAsia" w:ascii="仿宋_GB2312" w:hAnsi="宋体" w:cs="宋体"/>
                <w:kern w:val="0"/>
                <w:sz w:val="24"/>
                <w:shd w:val="clear" w:color="auto" w:fill="FFFFFF"/>
              </w:rPr>
            </w:pPr>
            <w:r>
              <w:rPr>
                <w:rFonts w:hint="eastAsia" w:ascii="仿宋_GB2312" w:hAnsi="宋体" w:cs="宋体"/>
                <w:kern w:val="0"/>
                <w:sz w:val="24"/>
                <w:shd w:val="clear" w:color="auto" w:fill="FFFFFF"/>
              </w:rPr>
              <w:t>年末结转结余</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r>
    </w:tbl>
    <w:p>
      <w:pPr>
        <w:widowControl/>
        <w:adjustRightInd w:val="0"/>
        <w:snapToGrid w:val="0"/>
        <w:spacing w:line="580" w:lineRule="exact"/>
        <w:contextualSpacing/>
        <w:jc w:val="left"/>
        <w:rPr>
          <w:rFonts w:ascii="仿宋_GB2312" w:hAnsi="宋体" w:cs="宋体"/>
          <w:color w:val="FF0000"/>
          <w:kern w:val="0"/>
          <w:sz w:val="32"/>
          <w:szCs w:val="32"/>
          <w:shd w:val="clear" w:color="auto" w:fill="FFFFFF"/>
        </w:rPr>
      </w:pPr>
    </w:p>
    <w:p>
      <w:pPr>
        <w:widowControl/>
        <w:adjustRightInd w:val="0"/>
        <w:snapToGrid w:val="0"/>
        <w:spacing w:line="62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三、部门整体预算绩效管理情况</w:t>
      </w:r>
    </w:p>
    <w:p>
      <w:pPr>
        <w:spacing w:line="620" w:lineRule="exact"/>
        <w:ind w:firstLine="640" w:firstLineChars="200"/>
        <w:jc w:val="left"/>
        <w:rPr>
          <w:rFonts w:hint="eastAsia" w:eastAsia="楷体_GB2312"/>
          <w:sz w:val="32"/>
          <w:szCs w:val="32"/>
          <w:shd w:val="clear" w:color="auto" w:fill="FFFFFF"/>
          <w:lang w:val="zh-CN" w:eastAsia="zh-CN"/>
        </w:rPr>
      </w:pPr>
      <w:r>
        <w:rPr>
          <w:rFonts w:hint="eastAsia" w:eastAsia="楷体_GB2312"/>
          <w:sz w:val="32"/>
          <w:szCs w:val="32"/>
          <w:shd w:val="clear" w:color="auto" w:fill="FFFFFF"/>
          <w:lang w:val="zh-CN" w:eastAsia="zh-CN"/>
        </w:rPr>
        <w:t>（一）部门预算项目绩效管理。</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1.包括部门绩效目标制定</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 xml:space="preserve">2022年，我单位坚持以习近平新时代中国特色社会主义思想为指导，按照《全省预算绩效管理工作推进方案》的工作要求，根据职能职责积极谋划，全面贯彻落实全方位、全过程、全覆盖的总体要求，严把事前评估、事中监控、事后评价关键节点，推进我单位预算绩效管理工作稳步开展。 </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一是按照2022年部门预算编制要求，结合我单位中长期规划和年度工作计划，认真填报了我单位整体支出绩效目标，设定了符合项目特点的年度绩效数量指标、成本指标、效益指标等，详细反映了相应项目工作任务、达成的效果。</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二是按照财政部门统一部署，我单位按要求于2023年8月20日随同2022年部门决算公开了部门整体支出绩效情况。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2.目标实现（按人员类、运转类、特定目标类项目分类阐述）</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2022年，我局编制部门预算的同时，按要求合理编制整体绩效目标和项目绩效目标，并严格按照年初计划完成绩效目标。</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2022年完成人员类经费核算及日常公用经费的运转核算1307.98万元，基本支出1307.98万元，其中人员经费支1025.65万元，日常公用经费支出222.22万元。同时完成特定目标类项目目标8个，项目支出经费668.50万元（其中应急管理能力保障经费18.56万元，  2020年度安全生产目标管理奖励资金（存量资金）15.00万元，网络通讯运行维护费及应急管理能力建设资金48.20万元，应急设施设备采购9.17万元，公务用车更新购置28.42万元，安全生产考试考务服务费119.77万元，专家服务及委托业务费31.74万元，2021年存量资金（专家服务及委托业务费）15.69万元，应急指挥保障服务经费16.02万元，应急管理保障服务60.99万元，应急管理宣传教育经费48.00万元，拨付遂宁市民兵应急营营部改造项目经费13.23万元，2022年森林消防高压泵购置59.28万元，省级安全生产专项资金13.94万元，四川省应急救援能力提升行动计划省级补助资金166.00万元，辅助管理专项资金4.50万元）。</w:t>
      </w:r>
    </w:p>
    <w:p>
      <w:pPr>
        <w:pStyle w:val="2"/>
        <w:jc w:val="right"/>
        <w:rPr>
          <w:rFonts w:hint="eastAsia"/>
        </w:rPr>
      </w:pPr>
      <w:r>
        <w:rPr>
          <w:rFonts w:hint="eastAsia"/>
        </w:rPr>
        <w:t>单位：万元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157"/>
        <w:gridCol w:w="2158"/>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jc w:val="center"/>
              <w:rPr>
                <w:rFonts w:hint="eastAsia"/>
              </w:rPr>
            </w:pPr>
            <w:r>
              <w:rPr>
                <w:rFonts w:hint="eastAsia"/>
              </w:rPr>
              <w:t>科目名称</w:t>
            </w:r>
          </w:p>
        </w:tc>
        <w:tc>
          <w:tcPr>
            <w:tcW w:w="2321" w:type="dxa"/>
          </w:tcPr>
          <w:p>
            <w:pPr>
              <w:pStyle w:val="2"/>
              <w:rPr>
                <w:rFonts w:hint="eastAsia"/>
              </w:rPr>
            </w:pPr>
            <w:r>
              <w:rPr>
                <w:rFonts w:hint="eastAsia"/>
              </w:rPr>
              <w:t>年度预算</w:t>
            </w:r>
          </w:p>
        </w:tc>
        <w:tc>
          <w:tcPr>
            <w:tcW w:w="2322" w:type="dxa"/>
          </w:tcPr>
          <w:p>
            <w:pPr>
              <w:pStyle w:val="2"/>
              <w:rPr>
                <w:rFonts w:hint="eastAsia"/>
              </w:rPr>
            </w:pPr>
            <w:r>
              <w:rPr>
                <w:rFonts w:hint="eastAsia"/>
              </w:rPr>
              <w:t>完成值</w:t>
            </w:r>
          </w:p>
        </w:tc>
        <w:tc>
          <w:tcPr>
            <w:tcW w:w="2322" w:type="dxa"/>
          </w:tcPr>
          <w:p>
            <w:pPr>
              <w:pStyle w:val="2"/>
              <w:jc w:val="center"/>
              <w:rPr>
                <w:rFonts w:hint="eastAsia"/>
              </w:rPr>
            </w:pPr>
            <w:r>
              <w:rPr>
                <w:rFonts w:hint="eastAsia"/>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人员类</w:t>
            </w:r>
          </w:p>
        </w:tc>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1139.68</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1025.65</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运转类</w:t>
            </w:r>
          </w:p>
        </w:tc>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233.34</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222.22</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95.23%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特定目标类</w:t>
            </w:r>
          </w:p>
        </w:tc>
        <w:tc>
          <w:tcPr>
            <w:tcW w:w="2321"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1181.43</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668.5</w:t>
            </w:r>
          </w:p>
        </w:tc>
        <w:tc>
          <w:tcPr>
            <w:tcW w:w="2322"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56.58%</w:t>
            </w:r>
          </w:p>
        </w:tc>
      </w:tr>
    </w:tbl>
    <w:p>
      <w:pPr>
        <w:pStyle w:val="2"/>
        <w:jc w:val="right"/>
        <w:rPr>
          <w:rFonts w:hint="eastAsia"/>
        </w:rPr>
      </w:pPr>
    </w:p>
    <w:p>
      <w:pPr>
        <w:pStyle w:val="2"/>
        <w:jc w:val="center"/>
        <w:rPr>
          <w:rFonts w:hint="eastAsia" w:ascii="仿宋_GB2312" w:hAnsi="仿宋_GB2312" w:cs="仿宋_GB2312"/>
          <w:szCs w:val="32"/>
        </w:rPr>
      </w:pPr>
      <w:r>
        <w:rPr>
          <w:rFonts w:hint="eastAsia" w:ascii="仿宋_GB2312" w:hAnsi="仿宋_GB2312" w:cs="仿宋_GB2312"/>
          <w:szCs w:val="32"/>
        </w:rPr>
        <w:t>特定目标类项目目标完成表</w:t>
      </w:r>
    </w:p>
    <w:tbl>
      <w:tblPr>
        <w:tblStyle w:val="17"/>
        <w:tblW w:w="0" w:type="auto"/>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25"/>
        <w:gridCol w:w="2520"/>
        <w:gridCol w:w="1410"/>
        <w:gridCol w:w="1035"/>
        <w:gridCol w:w="94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单位名称</w:t>
            </w:r>
          </w:p>
        </w:tc>
        <w:tc>
          <w:tcPr>
            <w:tcW w:w="172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项目</w:t>
            </w:r>
          </w:p>
        </w:tc>
        <w:tc>
          <w:tcPr>
            <w:tcW w:w="252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绩效目标</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数量指标</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目标值</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完成值</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应急管理保障服务</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全面提升我市突发事件信息接报、会商研判、应对处置、指挥协调能力，减少因突发事件的次生灾害造成生命财产损失。</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指挥保障服务工作日驻点服务时长</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52小时</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52小时</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值班值守服务驻点服务人数</w:t>
            </w:r>
          </w:p>
        </w:tc>
        <w:tc>
          <w:tcPr>
            <w:tcW w:w="1035" w:type="dxa"/>
            <w:vAlign w:val="center"/>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10人</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10人</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网络通讯运行维护费及应急管理能力建设资金</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提高应急管理现代化水平，实现科学高效应急管理，有效实施安全监管和突发事件应对处置</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应急网络运维条数</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=14条</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=14条</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卫星电话</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=5台</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=5台</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对讲机</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=31台</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=31台</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服务单兵数量</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=10台</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=10台</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安全生产考试考务服务费</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进一步规范我市特种作业人员安全技术考试工作经费支出管理，提高财政资金使用绩效，保障考试工作正常开展，提高考试质量，强化安全生产教育培训工作重要性的认识，督促企业履行安全培训主体责任和义务，严格落实企业负责人、安全管理人员、特种作业人员，即“三项岗位”人员持证上岗和从业人员先培训后上岗制度，进一步推动企业全面落实安全生产主体责任，不断提高企业安全生产管理水平。</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考试人数</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38571人次</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38571人次</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服务费用标准</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=70元/次</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=70元/次</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应急管理能力保障经费</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为执法队伍建设、救援处置、普法宣传、行业监管、安全文化、依法行政、等应急管理事务提供综合保障</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迎检内容项数</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=3项</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=3项</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演练活动数量</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=4个</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=4个</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应急管理宣传教育经费</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通过多渠道、多形式宣传，增强全社会的安全意识和应急救助能力，促进社会和谐稳定</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签约媒体公司数量</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7个</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7个</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宣传活动数量</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10个</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10个</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专家服务及委托业务经费</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为安全生产、突发事件应对处置、安全监管执法提供技术和业务保障，提高应急管理综合业务能力。</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危化品企业驻场企业数</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=18家</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=18家</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企业执法数</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40家</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40家</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遂宁市应急管理局</w:t>
            </w:r>
          </w:p>
        </w:tc>
        <w:tc>
          <w:tcPr>
            <w:tcW w:w="1725"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应急设施设备购置</w:t>
            </w:r>
          </w:p>
        </w:tc>
        <w:tc>
          <w:tcPr>
            <w:tcW w:w="2520" w:type="dxa"/>
            <w:vMerge w:val="restart"/>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为突发事件应对处置及现场指挥部搭建提供物资保障</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简易指挥车辆</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防爆转运泵</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tcPr>
          <w:p>
            <w:pPr>
              <w:pStyle w:val="2"/>
              <w:rPr>
                <w:rFonts w:hint="eastAsia" w:ascii="仿宋_GB2312" w:hAnsi="宋体" w:eastAsia="仿宋_GB2312" w:cs="仿宋_GB2312"/>
                <w:kern w:val="0"/>
                <w:sz w:val="21"/>
                <w:szCs w:val="21"/>
                <w:highlight w:val="none"/>
                <w:shd w:val="clear" w:color="auto" w:fill="FFFFFF"/>
                <w:lang w:val="en-US" w:eastAsia="zh-CN" w:bidi="ar"/>
              </w:rPr>
            </w:pPr>
          </w:p>
        </w:tc>
        <w:tc>
          <w:tcPr>
            <w:tcW w:w="1725"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2520" w:type="dxa"/>
            <w:vMerge w:val="continue"/>
          </w:tcPr>
          <w:p>
            <w:pPr>
              <w:pStyle w:val="2"/>
              <w:rPr>
                <w:rFonts w:hint="default" w:ascii="仿宋_GB2312" w:hAnsi="宋体" w:eastAsia="仿宋_GB2312" w:cs="仿宋_GB2312"/>
                <w:kern w:val="0"/>
                <w:sz w:val="21"/>
                <w:szCs w:val="21"/>
                <w:highlight w:val="none"/>
                <w:shd w:val="clear" w:color="auto" w:fill="FFFFFF"/>
                <w:lang w:val="en-US" w:eastAsia="zh-CN" w:bidi="ar"/>
              </w:rPr>
            </w:pP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应急包</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40套</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40套</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遂宁市减灾中心</w:t>
            </w:r>
          </w:p>
        </w:tc>
        <w:tc>
          <w:tcPr>
            <w:tcW w:w="172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辅助管理专项资金</w:t>
            </w:r>
          </w:p>
        </w:tc>
        <w:tc>
          <w:tcPr>
            <w:tcW w:w="252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辅助性服务人员整体评价达到90%</w:t>
            </w:r>
          </w:p>
        </w:tc>
        <w:tc>
          <w:tcPr>
            <w:tcW w:w="141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完成2022年度12个月账务处理</w:t>
            </w:r>
          </w:p>
        </w:tc>
        <w:tc>
          <w:tcPr>
            <w:tcW w:w="103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default" w:ascii="仿宋_GB2312" w:hAnsi="宋体" w:eastAsia="仿宋_GB2312" w:cs="仿宋_GB2312"/>
                <w:kern w:val="0"/>
                <w:sz w:val="21"/>
                <w:szCs w:val="21"/>
                <w:highlight w:val="none"/>
                <w:shd w:val="clear" w:color="auto" w:fill="FFFFFF"/>
                <w:lang w:val="en-US" w:eastAsia="zh-CN" w:bidi="ar"/>
              </w:rPr>
              <w:t>＝</w:t>
            </w:r>
            <w:r>
              <w:rPr>
                <w:rFonts w:hint="eastAsia" w:ascii="仿宋_GB2312" w:hAnsi="宋体" w:eastAsia="仿宋_GB2312" w:cs="仿宋_GB2312"/>
                <w:kern w:val="0"/>
                <w:sz w:val="21"/>
                <w:szCs w:val="21"/>
                <w:highlight w:val="none"/>
                <w:shd w:val="clear" w:color="auto" w:fill="FFFFFF"/>
                <w:lang w:val="en-US" w:eastAsia="zh-CN" w:bidi="ar"/>
              </w:rPr>
              <w:t>12月</w:t>
            </w:r>
          </w:p>
        </w:tc>
        <w:tc>
          <w:tcPr>
            <w:tcW w:w="945"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=12</w:t>
            </w:r>
          </w:p>
        </w:tc>
        <w:tc>
          <w:tcPr>
            <w:tcW w:w="1140" w:type="dxa"/>
          </w:tcPr>
          <w:p>
            <w:pPr>
              <w:pStyle w:val="2"/>
              <w:rPr>
                <w:rFonts w:hint="default"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r>
    </w:tbl>
    <w:p>
      <w:pPr>
        <w:widowControl/>
        <w:adjustRightInd w:val="0"/>
        <w:snapToGrid w:val="0"/>
        <w:spacing w:line="580" w:lineRule="exact"/>
        <w:contextualSpacing/>
        <w:jc w:val="left"/>
        <w:rPr>
          <w:rFonts w:hint="eastAsia" w:ascii="仿宋_GB2312" w:hAnsi="宋体" w:cs="宋体"/>
          <w:kern w:val="0"/>
          <w:szCs w:val="32"/>
          <w:shd w:val="clear" w:color="auto" w:fill="FFFFFF"/>
          <w:lang w:val="zh-CN"/>
        </w:rPr>
      </w:pP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3.</w:t>
      </w:r>
      <w:r>
        <w:rPr>
          <w:rStyle w:val="32"/>
          <w:rFonts w:hint="eastAsia" w:ascii="仿宋" w:hAnsi="仿宋" w:eastAsia="仿宋"/>
          <w:b w:val="0"/>
          <w:bCs w:val="0"/>
          <w:lang w:val="zh-CN" w:eastAsia="zh-CN" w:bidi="ar-SA"/>
        </w:rPr>
        <w:t>支出控制</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支出控制较到位。市应急管理局2022年度办公费的实际支出均未超过年初预算，但印刷费、电费、水费年初未独立编制预算，均包含在物业管理费中，整体支出未超出年初预算，无偏差。</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根据我单位实际情况，对单位预算进行动态调整，严格按照预算追加流程要求，部门对预算资金及时清收，绩效运行进度较可控。</w:t>
      </w:r>
    </w:p>
    <w:tbl>
      <w:tblPr>
        <w:tblStyle w:val="17"/>
        <w:tblpPr w:leftFromText="180" w:rightFromText="180" w:vertAnchor="text" w:horzAnchor="page" w:tblpX="1410" w:tblpY="5"/>
        <w:tblOverlap w:val="never"/>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18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5"/>
          </w:tcPr>
          <w:p>
            <w:pPr>
              <w:pStyle w:val="2"/>
              <w:ind w:firstLine="0"/>
              <w:jc w:val="center"/>
              <w:rPr>
                <w:sz w:val="24"/>
                <w:szCs w:val="24"/>
              </w:rPr>
            </w:pPr>
            <w:r>
              <w:rPr>
                <w:rFonts w:hint="eastAsia"/>
                <w:sz w:val="24"/>
                <w:szCs w:val="24"/>
              </w:rPr>
              <w:t>“办公费、印刷费、水费、电费、物业管理费、维修（护）费、培训费、会议费”8个科目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ind w:firstLine="0"/>
              <w:rPr>
                <w:sz w:val="24"/>
                <w:szCs w:val="24"/>
              </w:rPr>
            </w:pPr>
            <w:r>
              <w:rPr>
                <w:rFonts w:hint="eastAsia"/>
                <w:sz w:val="24"/>
                <w:szCs w:val="24"/>
              </w:rPr>
              <w:t>科目名称</w:t>
            </w:r>
          </w:p>
        </w:tc>
        <w:tc>
          <w:tcPr>
            <w:tcW w:w="1857" w:type="dxa"/>
          </w:tcPr>
          <w:p>
            <w:pPr>
              <w:pStyle w:val="2"/>
              <w:ind w:firstLine="0"/>
              <w:rPr>
                <w:sz w:val="24"/>
                <w:szCs w:val="24"/>
              </w:rPr>
            </w:pPr>
            <w:r>
              <w:rPr>
                <w:rFonts w:hint="eastAsia"/>
                <w:sz w:val="24"/>
                <w:szCs w:val="24"/>
              </w:rPr>
              <w:t>年初预算数</w:t>
            </w:r>
          </w:p>
        </w:tc>
        <w:tc>
          <w:tcPr>
            <w:tcW w:w="1857" w:type="dxa"/>
          </w:tcPr>
          <w:p>
            <w:pPr>
              <w:pStyle w:val="2"/>
              <w:ind w:firstLine="0"/>
              <w:rPr>
                <w:sz w:val="24"/>
                <w:szCs w:val="24"/>
              </w:rPr>
            </w:pPr>
            <w:r>
              <w:rPr>
                <w:rFonts w:hint="eastAsia"/>
                <w:sz w:val="24"/>
                <w:szCs w:val="24"/>
              </w:rPr>
              <w:t>决算数</w:t>
            </w:r>
          </w:p>
        </w:tc>
        <w:tc>
          <w:tcPr>
            <w:tcW w:w="1180" w:type="dxa"/>
          </w:tcPr>
          <w:p>
            <w:pPr>
              <w:pStyle w:val="2"/>
              <w:ind w:firstLine="0"/>
              <w:rPr>
                <w:sz w:val="24"/>
                <w:szCs w:val="24"/>
              </w:rPr>
            </w:pPr>
            <w:r>
              <w:rPr>
                <w:rFonts w:hint="eastAsia"/>
                <w:sz w:val="24"/>
                <w:szCs w:val="24"/>
              </w:rPr>
              <w:t>偏差程度</w:t>
            </w:r>
          </w:p>
        </w:tc>
        <w:tc>
          <w:tcPr>
            <w:tcW w:w="2730" w:type="dxa"/>
          </w:tcPr>
          <w:p>
            <w:pPr>
              <w:pStyle w:val="2"/>
              <w:ind w:firstLine="0"/>
              <w:rPr>
                <w:sz w:val="24"/>
                <w:szCs w:val="24"/>
              </w:rPr>
            </w:pPr>
            <w:r>
              <w:rPr>
                <w:rFonts w:hint="eastAsia"/>
                <w:sz w:val="24"/>
                <w:szCs w:val="24"/>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办公费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33.30</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16.44</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16.86</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印刷费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1.70</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-1.7</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水费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0.11</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0.11</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预算在物业管理费中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电费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物业管理费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30.5</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27.21</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3.29</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维修（护）费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19.79</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12.08</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7.71</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培训费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18.54</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10.73</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7.81</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会议费</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13.50</w:t>
            </w:r>
          </w:p>
        </w:tc>
        <w:tc>
          <w:tcPr>
            <w:tcW w:w="1857"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3.94</w:t>
            </w:r>
          </w:p>
        </w:tc>
        <w:tc>
          <w:tcPr>
            <w:tcW w:w="118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9.56</w:t>
            </w:r>
          </w:p>
        </w:tc>
        <w:tc>
          <w:tcPr>
            <w:tcW w:w="2730" w:type="dxa"/>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提前关闭支付通道，导致部分费用无法支付</w:t>
            </w:r>
          </w:p>
        </w:tc>
      </w:tr>
    </w:tbl>
    <w:p>
      <w:pPr>
        <w:pStyle w:val="2"/>
        <w:rPr>
          <w:rFonts w:hint="eastAsia" w:ascii="仿宋_GB2312" w:hAnsi="宋体" w:eastAsia="仿宋_GB2312" w:cs="仿宋_GB2312"/>
          <w:kern w:val="0"/>
          <w:sz w:val="21"/>
          <w:szCs w:val="21"/>
          <w:highlight w:val="none"/>
          <w:shd w:val="clear" w:color="auto" w:fill="FFFFFF"/>
          <w:lang w:val="en-US" w:eastAsia="zh-CN" w:bidi="ar"/>
        </w:rPr>
      </w:pP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4.</w:t>
      </w:r>
      <w:r>
        <w:rPr>
          <w:rStyle w:val="32"/>
          <w:rFonts w:hint="eastAsia" w:ascii="仿宋" w:hAnsi="仿宋" w:eastAsia="仿宋"/>
          <w:b w:val="0"/>
          <w:bCs w:val="0"/>
          <w:lang w:val="zh-CN" w:eastAsia="zh-CN" w:bidi="ar-SA"/>
        </w:rPr>
        <w:t>及时处置</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本单位按要求及时开展绩效运行监控。2022年，没有绩效监控调整取消额和预算结余注销额。</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5.</w:t>
      </w:r>
      <w:r>
        <w:rPr>
          <w:rStyle w:val="32"/>
          <w:rFonts w:hint="eastAsia" w:ascii="仿宋" w:hAnsi="仿宋" w:eastAsia="仿宋"/>
          <w:b w:val="0"/>
          <w:bCs w:val="0"/>
          <w:lang w:val="zh-CN" w:eastAsia="zh-CN" w:bidi="ar-SA"/>
        </w:rPr>
        <w:t>执行进度</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本单位6、9、11、12月的实际支出进度分别为26.8%、44.7%、63.00%、76.1%。</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6.</w:t>
      </w:r>
      <w:r>
        <w:rPr>
          <w:rStyle w:val="32"/>
          <w:rFonts w:hint="eastAsia" w:ascii="仿宋" w:hAnsi="仿宋" w:eastAsia="仿宋"/>
          <w:b w:val="0"/>
          <w:bCs w:val="0"/>
          <w:lang w:val="zh-CN" w:eastAsia="zh-CN" w:bidi="ar-SA"/>
        </w:rPr>
        <w:t>预算完成情况、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从预算执行情况上看2022年我单位积极开展年度财政资金的预算编制工作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7.资金结余率（低效）</w:t>
      </w:r>
    </w:p>
    <w:p>
      <w:pPr>
        <w:pStyle w:val="2"/>
        <w:ind w:firstLine="0"/>
        <w:jc w:val="center"/>
        <w:rPr>
          <w:rFonts w:hint="eastAsia" w:ascii="仿宋_GB2312" w:hAnsi="仿宋_GB2312" w:cs="仿宋_GB2312"/>
          <w:szCs w:val="32"/>
        </w:rPr>
      </w:pPr>
      <w:r>
        <w:rPr>
          <w:rFonts w:hint="eastAsia" w:ascii="仿宋_GB2312" w:hAnsi="仿宋_GB2312" w:cs="仿宋_GB2312"/>
          <w:szCs w:val="32"/>
        </w:rPr>
        <w:t>特定目标类项目</w:t>
      </w:r>
    </w:p>
    <w:p>
      <w:pPr>
        <w:pStyle w:val="2"/>
        <w:ind w:firstLine="0"/>
        <w:jc w:val="right"/>
        <w:rPr>
          <w:rFonts w:hint="eastAsia" w:ascii="仿宋_GB2312" w:hAnsi="仿宋_GB2312" w:cs="仿宋_GB2312"/>
          <w:szCs w:val="32"/>
          <w:lang w:val="zh-CN"/>
        </w:rPr>
      </w:pPr>
      <w:r>
        <w:rPr>
          <w:rFonts w:hint="eastAsia" w:ascii="仿宋_GB2312" w:hAnsi="仿宋_GB2312" w:cs="仿宋_GB2312"/>
          <w:szCs w:val="32"/>
        </w:rPr>
        <w:t>单位：万元</w:t>
      </w:r>
    </w:p>
    <w:tbl>
      <w:tblPr>
        <w:tblStyle w:val="17"/>
        <w:tblpPr w:leftFromText="180" w:rightFromText="180" w:vertAnchor="text" w:horzAnchor="page" w:tblpX="1545" w:tblpY="45"/>
        <w:tblOverlap w:val="never"/>
        <w:tblW w:w="9477" w:type="dxa"/>
        <w:tblInd w:w="0" w:type="dxa"/>
        <w:tblLayout w:type="autofit"/>
        <w:tblCellMar>
          <w:top w:w="0" w:type="dxa"/>
          <w:left w:w="108" w:type="dxa"/>
          <w:bottom w:w="0" w:type="dxa"/>
          <w:right w:w="108" w:type="dxa"/>
        </w:tblCellMar>
      </w:tblPr>
      <w:tblGrid>
        <w:gridCol w:w="2575"/>
        <w:gridCol w:w="1576"/>
        <w:gridCol w:w="1281"/>
        <w:gridCol w:w="1281"/>
        <w:gridCol w:w="1266"/>
        <w:gridCol w:w="1535"/>
      </w:tblGrid>
      <w:tr>
        <w:tblPrEx>
          <w:tblCellMar>
            <w:top w:w="0" w:type="dxa"/>
            <w:left w:w="108" w:type="dxa"/>
            <w:bottom w:w="0" w:type="dxa"/>
            <w:right w:w="108" w:type="dxa"/>
          </w:tblCellMar>
        </w:tblPrEx>
        <w:trPr>
          <w:trHeight w:val="103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部分预算项目</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预算金额</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预算执行</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预算完成率</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资金结成率</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sz w:val="24"/>
              </w:rPr>
            </w:pPr>
            <w:r>
              <w:rPr>
                <w:rFonts w:hint="eastAsia" w:ascii="仿宋_GB2312" w:hAnsi="仿宋_GB2312" w:cs="仿宋_GB2312"/>
                <w:sz w:val="24"/>
              </w:rPr>
              <w:t>是否小于0.1（10%）</w:t>
            </w:r>
          </w:p>
        </w:tc>
      </w:tr>
      <w:tr>
        <w:tblPrEx>
          <w:tblCellMar>
            <w:top w:w="0" w:type="dxa"/>
            <w:left w:w="108" w:type="dxa"/>
            <w:bottom w:w="0" w:type="dxa"/>
            <w:right w:w="108" w:type="dxa"/>
          </w:tblCellMar>
        </w:tblPrEx>
        <w:trPr>
          <w:trHeight w:val="521"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应急管理保障服务</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91.36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60.99</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66.76%</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33.24%</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否</w:t>
            </w:r>
          </w:p>
        </w:tc>
      </w:tr>
      <w:tr>
        <w:tblPrEx>
          <w:tblCellMar>
            <w:top w:w="0" w:type="dxa"/>
            <w:left w:w="108" w:type="dxa"/>
            <w:bottom w:w="0" w:type="dxa"/>
            <w:right w:w="108" w:type="dxa"/>
          </w:tblCellMar>
        </w:tblPrEx>
        <w:trPr>
          <w:trHeight w:val="1033" w:hRule="atLeast"/>
        </w:trPr>
        <w:tc>
          <w:tcPr>
            <w:tcW w:w="2575"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网络通讯运行维护费及应急管理能力建设资金</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48.20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48.20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是</w:t>
            </w:r>
          </w:p>
        </w:tc>
      </w:tr>
      <w:tr>
        <w:tblPrEx>
          <w:tblCellMar>
            <w:top w:w="0" w:type="dxa"/>
            <w:left w:w="108" w:type="dxa"/>
            <w:bottom w:w="0" w:type="dxa"/>
            <w:right w:w="108" w:type="dxa"/>
          </w:tblCellMar>
        </w:tblPrEx>
        <w:trPr>
          <w:trHeight w:val="521"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安全生产考试考务服务费</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270.00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119.77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44.36%</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55.64%</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否</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应急管理能力保障经费</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30.76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18.56</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60.34%</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39.66%</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否</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应急管理宣传教育经费</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48.00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48.00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是</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专家服务及委托业务经费</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50.84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31.74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62.43%</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37.57%</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否</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应急设施设备购置</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10.84</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9.17</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84.59%</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15.41%</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否</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辅助管理专项资金</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4.50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100%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ascii="仿宋_GB2312" w:hAnsi="宋体" w:eastAsia="仿宋_GB2312" w:cs="仿宋_GB2312"/>
                <w:kern w:val="0"/>
                <w:sz w:val="21"/>
                <w:szCs w:val="21"/>
                <w:highlight w:val="none"/>
                <w:shd w:val="clear" w:color="auto" w:fill="FFFFFF"/>
                <w:lang w:val="en-US" w:eastAsia="zh-CN" w:bidi="ar"/>
              </w:rPr>
            </w:pPr>
            <w:r>
              <w:rPr>
                <w:rFonts w:hint="eastAsia" w:ascii="仿宋_GB2312" w:hAnsi="宋体" w:eastAsia="仿宋_GB2312" w:cs="仿宋_GB2312"/>
                <w:kern w:val="0"/>
                <w:sz w:val="21"/>
                <w:szCs w:val="21"/>
                <w:highlight w:val="none"/>
                <w:shd w:val="clear" w:color="auto" w:fill="FFFFFF"/>
                <w:lang w:val="en-US" w:eastAsia="zh-CN" w:bidi="ar"/>
              </w:rPr>
              <w:t>是</w:t>
            </w:r>
          </w:p>
        </w:tc>
      </w:tr>
    </w:tbl>
    <w:p>
      <w:pPr>
        <w:pStyle w:val="2"/>
        <w:rPr>
          <w:rFonts w:hint="eastAsia" w:ascii="仿宋_GB2312" w:hAnsi="宋体" w:eastAsia="仿宋_GB2312" w:cs="仿宋_GB2312"/>
          <w:kern w:val="0"/>
          <w:sz w:val="21"/>
          <w:szCs w:val="21"/>
          <w:highlight w:val="none"/>
          <w:shd w:val="clear" w:color="auto" w:fill="FFFFFF"/>
          <w:lang w:val="zh-CN" w:eastAsia="zh-CN" w:bidi="ar"/>
        </w:rPr>
      </w:pP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8.</w:t>
      </w:r>
      <w:r>
        <w:rPr>
          <w:rStyle w:val="32"/>
          <w:rFonts w:hint="eastAsia" w:ascii="仿宋" w:hAnsi="仿宋" w:eastAsia="仿宋"/>
          <w:b w:val="0"/>
          <w:bCs w:val="0"/>
          <w:lang w:val="zh-CN" w:eastAsia="zh-CN" w:bidi="ar-SA"/>
        </w:rPr>
        <w:t>违规记录</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2022年，市应急局无违规情况。</w:t>
      </w:r>
    </w:p>
    <w:p>
      <w:pPr>
        <w:spacing w:line="620" w:lineRule="exact"/>
        <w:ind w:firstLine="640" w:firstLineChars="200"/>
        <w:jc w:val="left"/>
        <w:rPr>
          <w:rFonts w:hint="eastAsia" w:eastAsia="楷体_GB2312"/>
          <w:sz w:val="32"/>
          <w:szCs w:val="32"/>
          <w:shd w:val="clear" w:color="auto" w:fill="FFFFFF"/>
          <w:lang w:val="zh-CN" w:eastAsia="zh-CN"/>
        </w:rPr>
      </w:pPr>
      <w:r>
        <w:rPr>
          <w:rFonts w:hint="eastAsia" w:eastAsia="楷体_GB2312"/>
          <w:sz w:val="32"/>
          <w:szCs w:val="32"/>
          <w:shd w:val="clear" w:color="auto" w:fill="FFFFFF"/>
          <w:lang w:val="zh-CN" w:eastAsia="zh-CN"/>
        </w:rPr>
        <w:t>（二）结果应用情况。</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1.内部应用，开展绩效评价的结果应用既是开展绩效评价工作的基本前提，又是加强财政支出管理、增强资金绩效理念、优化支出结构、强化资金管理水平、提高资金使用效益的重要手段，绩效评价结果为以后年度预算资金分配起到重要依据。我中心按照财经制度要求执行预决算，严格遵守各项规章制度、专项资金管理办法及绩效方案组织实施。</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2.自评公开</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信息公开及时。我单位严格按照要求在市财政部门批复二十日后，根据市财政要求按时在人民政府网和应急局官网上公示本绩效目标情况。同时部门整体支出绩效自评报告及其他按要求应公开的绩效信息均已信息公开，接受社会公众的监督。</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3.问题整改</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一是高度重视，强化认识。高度重视预算支出绩效评价工作。进一步强化各科室对财政预算支出的管理意识。加强对预算资金管理制度的学习培训，不断提高各职能科室的业务工作能力。</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二是建立健全管理制度。建立健全内部财务管理和厉行节约等一系列制度，特别是对公务接待、会议费等支出进行了有针对性的规范管控。</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三是严格制度执行。特别是对“三公”经费的预算控制，严格招待费用审核审批程序,“三公”经费较好地控制在预算范围之内。</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四是规范资金使用流程。建立科学完善的管理制度，严格预算支出，从财经制度源头把好经费使用关，确保经费使用向业务倾斜、向重点工作倾斜，确保资金的节支增效。</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4.应用反馈。</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遂宁市应急管理局在规定时间内向市级财政部门反馈应用绩效结果的报告。</w:t>
      </w:r>
    </w:p>
    <w:p>
      <w:pPr>
        <w:widowControl/>
        <w:adjustRightInd w:val="0"/>
        <w:snapToGrid w:val="0"/>
        <w:spacing w:line="62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spacing w:line="620" w:lineRule="exact"/>
        <w:ind w:firstLine="640" w:firstLineChars="200"/>
        <w:jc w:val="left"/>
        <w:rPr>
          <w:rFonts w:hint="eastAsia" w:eastAsia="楷体_GB2312"/>
          <w:sz w:val="32"/>
          <w:szCs w:val="32"/>
          <w:shd w:val="clear" w:color="auto" w:fill="FFFFFF"/>
          <w:lang w:val="zh-CN" w:eastAsia="zh-CN"/>
        </w:rPr>
      </w:pPr>
      <w:r>
        <w:rPr>
          <w:rFonts w:hint="eastAsia" w:eastAsia="楷体_GB2312"/>
          <w:sz w:val="32"/>
          <w:szCs w:val="32"/>
          <w:shd w:val="clear" w:color="auto" w:fill="FFFFFF"/>
          <w:lang w:val="zh-CN" w:eastAsia="zh-CN"/>
        </w:rPr>
        <w:t>（一）评价结论。</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zh-CN" w:eastAsia="zh-CN" w:bidi="ar-SA"/>
        </w:rPr>
        <w:t>遂宁市应急管理局202</w:t>
      </w:r>
      <w:r>
        <w:rPr>
          <w:rStyle w:val="32"/>
          <w:rFonts w:hint="eastAsia" w:ascii="仿宋" w:hAnsi="仿宋" w:eastAsia="仿宋"/>
          <w:b w:val="0"/>
          <w:bCs w:val="0"/>
          <w:lang w:val="en-US" w:eastAsia="zh-CN" w:bidi="ar-SA"/>
        </w:rPr>
        <w:t>2</w:t>
      </w:r>
      <w:r>
        <w:rPr>
          <w:rStyle w:val="32"/>
          <w:rFonts w:hint="eastAsia" w:ascii="仿宋" w:hAnsi="仿宋" w:eastAsia="仿宋"/>
          <w:b w:val="0"/>
          <w:bCs w:val="0"/>
          <w:lang w:val="zh-CN" w:eastAsia="zh-CN" w:bidi="ar-SA"/>
        </w:rPr>
        <w:t>年目标绩效合理可行，严格执行了相关预算规定，项目设立符合本单位相关职能职责，资金分配科学、合理。支付严格按照年初预算执行，不存在超预算、无预算列支的现象。绩效自评分为</w:t>
      </w:r>
      <w:r>
        <w:rPr>
          <w:rStyle w:val="32"/>
          <w:rFonts w:hint="eastAsia" w:ascii="仿宋" w:hAnsi="仿宋" w:eastAsia="仿宋"/>
          <w:b w:val="0"/>
          <w:bCs w:val="0"/>
          <w:lang w:val="en-US" w:eastAsia="zh-CN" w:bidi="ar-SA"/>
        </w:rPr>
        <w:t>76.59分，自评等级为中。</w:t>
      </w:r>
    </w:p>
    <w:p>
      <w:pPr>
        <w:spacing w:line="620" w:lineRule="exact"/>
        <w:ind w:firstLine="640" w:firstLineChars="200"/>
        <w:jc w:val="left"/>
        <w:rPr>
          <w:rFonts w:hint="eastAsia" w:eastAsia="楷体_GB2312"/>
          <w:sz w:val="32"/>
          <w:szCs w:val="32"/>
          <w:shd w:val="clear" w:color="auto" w:fill="FFFFFF"/>
          <w:lang w:val="zh-CN" w:eastAsia="zh-CN"/>
        </w:rPr>
      </w:pPr>
      <w:r>
        <w:rPr>
          <w:rFonts w:hint="eastAsia" w:eastAsia="楷体_GB2312"/>
          <w:sz w:val="32"/>
          <w:szCs w:val="32"/>
          <w:shd w:val="clear" w:color="auto" w:fill="FFFFFF"/>
          <w:lang w:val="zh-CN" w:eastAsia="zh-CN"/>
        </w:rPr>
        <w:t>（二）存在问题。</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对</w:t>
      </w:r>
      <w:r>
        <w:rPr>
          <w:rStyle w:val="32"/>
          <w:rFonts w:hint="eastAsia" w:ascii="仿宋" w:hAnsi="仿宋" w:eastAsia="仿宋"/>
          <w:b w:val="0"/>
          <w:bCs w:val="0"/>
          <w:lang w:val="zh-CN" w:eastAsia="zh-CN" w:bidi="ar-SA"/>
        </w:rPr>
        <w:t>预算编制质量、</w:t>
      </w:r>
      <w:r>
        <w:rPr>
          <w:rStyle w:val="32"/>
          <w:rFonts w:hint="eastAsia" w:ascii="仿宋" w:hAnsi="仿宋" w:eastAsia="仿宋"/>
          <w:b w:val="0"/>
          <w:bCs w:val="0"/>
          <w:lang w:val="en-US" w:eastAsia="zh-CN" w:bidi="ar-SA"/>
        </w:rPr>
        <w:t>专项资金的合理性及</w:t>
      </w:r>
      <w:r>
        <w:rPr>
          <w:rStyle w:val="32"/>
          <w:rFonts w:hint="eastAsia" w:ascii="仿宋" w:hAnsi="仿宋" w:eastAsia="仿宋"/>
          <w:b w:val="0"/>
          <w:bCs w:val="0"/>
          <w:lang w:val="zh-CN" w:eastAsia="zh-CN" w:bidi="ar-SA"/>
        </w:rPr>
        <w:t>执行</w:t>
      </w:r>
      <w:r>
        <w:rPr>
          <w:rStyle w:val="32"/>
          <w:rFonts w:hint="eastAsia" w:ascii="仿宋" w:hAnsi="仿宋" w:eastAsia="仿宋"/>
          <w:b w:val="0"/>
          <w:bCs w:val="0"/>
          <w:lang w:val="en-US" w:eastAsia="zh-CN" w:bidi="ar-SA"/>
        </w:rPr>
        <w:t>率都有待提高</w:t>
      </w:r>
      <w:r>
        <w:rPr>
          <w:rStyle w:val="32"/>
          <w:rFonts w:hint="eastAsia" w:ascii="仿宋" w:hAnsi="仿宋" w:eastAsia="仿宋"/>
          <w:b w:val="0"/>
          <w:bCs w:val="0"/>
          <w:lang w:val="zh-CN" w:eastAsia="zh-CN" w:bidi="ar-SA"/>
        </w:rPr>
        <w:t>；</w:t>
      </w:r>
      <w:r>
        <w:rPr>
          <w:rStyle w:val="32"/>
          <w:rFonts w:hint="eastAsia" w:ascii="仿宋" w:hAnsi="仿宋" w:eastAsia="仿宋"/>
          <w:b w:val="0"/>
          <w:bCs w:val="0"/>
          <w:lang w:val="en-US" w:eastAsia="zh-CN" w:bidi="ar-SA"/>
        </w:rPr>
        <w:t>同时应加强业务</w:t>
      </w:r>
      <w:r>
        <w:rPr>
          <w:rStyle w:val="32"/>
          <w:rFonts w:hint="eastAsia" w:ascii="仿宋" w:hAnsi="仿宋" w:eastAsia="仿宋"/>
          <w:b w:val="0"/>
          <w:bCs w:val="0"/>
          <w:lang w:val="zh-CN" w:eastAsia="zh-CN" w:bidi="ar-SA"/>
        </w:rPr>
        <w:t>人员专业技术能力</w:t>
      </w:r>
      <w:r>
        <w:rPr>
          <w:rStyle w:val="32"/>
          <w:rFonts w:hint="eastAsia" w:ascii="仿宋" w:hAnsi="仿宋" w:eastAsia="仿宋"/>
          <w:b w:val="0"/>
          <w:bCs w:val="0"/>
          <w:lang w:val="en-US" w:eastAsia="zh-CN" w:bidi="ar-SA"/>
        </w:rPr>
        <w:t>提升</w:t>
      </w:r>
      <w:r>
        <w:rPr>
          <w:rStyle w:val="32"/>
          <w:rFonts w:hint="eastAsia" w:ascii="仿宋" w:hAnsi="仿宋" w:eastAsia="仿宋"/>
          <w:b w:val="0"/>
          <w:bCs w:val="0"/>
          <w:lang w:val="zh-CN" w:eastAsia="zh-CN" w:bidi="ar-SA"/>
        </w:rPr>
        <w:t>。</w:t>
      </w:r>
    </w:p>
    <w:p>
      <w:pPr>
        <w:spacing w:line="620" w:lineRule="exact"/>
        <w:ind w:firstLine="640" w:firstLineChars="200"/>
        <w:jc w:val="left"/>
        <w:rPr>
          <w:rFonts w:hint="eastAsia" w:eastAsia="楷体_GB2312"/>
          <w:sz w:val="32"/>
          <w:szCs w:val="32"/>
          <w:shd w:val="clear" w:color="auto" w:fill="FFFFFF"/>
          <w:lang w:val="zh-CN" w:eastAsia="zh-CN"/>
        </w:rPr>
      </w:pPr>
      <w:r>
        <w:rPr>
          <w:rFonts w:hint="eastAsia" w:eastAsia="楷体_GB2312"/>
          <w:sz w:val="32"/>
          <w:szCs w:val="32"/>
          <w:shd w:val="clear" w:color="auto" w:fill="FFFFFF"/>
          <w:lang w:val="zh-CN" w:eastAsia="zh-CN"/>
        </w:rPr>
        <w:t>（三）改进建议。</w:t>
      </w:r>
    </w:p>
    <w:p>
      <w:pPr>
        <w:snapToGrid w:val="0"/>
        <w:spacing w:line="580" w:lineRule="exact"/>
        <w:ind w:firstLine="640" w:firstLineChars="200"/>
        <w:rPr>
          <w:rStyle w:val="32"/>
          <w:rFonts w:hint="eastAsia" w:ascii="仿宋" w:hAnsi="仿宋" w:eastAsia="仿宋"/>
          <w:b w:val="0"/>
          <w:bCs w:val="0"/>
          <w:lang w:val="zh-CN" w:eastAsia="zh-CN" w:bidi="ar-SA"/>
        </w:rPr>
      </w:pPr>
      <w:r>
        <w:rPr>
          <w:rStyle w:val="32"/>
          <w:rFonts w:hint="eastAsia" w:ascii="仿宋" w:hAnsi="仿宋" w:eastAsia="仿宋"/>
          <w:b w:val="0"/>
          <w:bCs w:val="0"/>
          <w:lang w:val="en-US" w:eastAsia="zh-CN" w:bidi="ar-SA"/>
        </w:rPr>
        <w:t>一是加强预算编制管理，做深做细预算编制工作。二是认真做好中期评估，动态实时把握预算执行情况，强化预算执行力度。三是加强强化结果运用，完善结果反馈机制，落实绩效结果运用，逐步建立以绩效为导向的部门预算编制模式，提高资金使用效益。</w:t>
      </w:r>
    </w:p>
    <w:p>
      <w:pPr>
        <w:widowControl/>
        <w:adjustRightInd w:val="0"/>
        <w:snapToGrid w:val="0"/>
        <w:spacing w:line="620" w:lineRule="exact"/>
        <w:ind w:firstLine="420" w:firstLineChars="200"/>
        <w:contextualSpacing/>
        <w:jc w:val="left"/>
        <w:rPr>
          <w:color w:val="FF0000"/>
          <w:kern w:val="0"/>
          <w:szCs w:val="32"/>
          <w:shd w:val="clear" w:color="auto" w:fill="FFFFFF"/>
          <w:lang w:val="zh-CN"/>
        </w:rPr>
      </w:pPr>
    </w:p>
    <w:p>
      <w:pPr>
        <w:spacing w:line="600" w:lineRule="exact"/>
        <w:jc w:val="both"/>
        <w:outlineLvl w:val="0"/>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75"/>
      <w:bookmarkEnd w:id="78"/>
      <w:bookmarkEnd w:id="79"/>
      <w:bookmarkStart w:id="80" w:name="_Toc15396619"/>
    </w:p>
    <w:p>
      <w:pPr>
        <w:pStyle w:val="4"/>
        <w:rPr>
          <w:rFonts w:ascii="仿宋" w:hAnsi="仿宋" w:eastAsia="仿宋"/>
        </w:rPr>
      </w:pPr>
      <w:bookmarkStart w:id="81" w:name="_Toc17286"/>
      <w:r>
        <w:rPr>
          <w:rFonts w:hint="eastAsia" w:ascii="仿宋" w:hAnsi="仿宋" w:eastAsia="仿宋"/>
          <w:b w:val="0"/>
        </w:rPr>
        <w:t>一、收</w:t>
      </w:r>
      <w:r>
        <w:rPr>
          <w:rStyle w:val="32"/>
          <w:rFonts w:hint="eastAsia" w:ascii="仿宋" w:hAnsi="仿宋" w:eastAsia="仿宋"/>
          <w:b w:val="0"/>
          <w:bCs w:val="0"/>
        </w:rPr>
        <w:t>入支出决算总表</w:t>
      </w:r>
      <w:bookmarkEnd w:id="80"/>
      <w:bookmarkEnd w:id="81"/>
    </w:p>
    <w:p>
      <w:pPr>
        <w:pStyle w:val="4"/>
        <w:rPr>
          <w:rFonts w:ascii="仿宋" w:hAnsi="仿宋" w:eastAsia="仿宋"/>
        </w:rPr>
      </w:pPr>
      <w:bookmarkStart w:id="82" w:name="_Toc19577"/>
      <w:bookmarkStart w:id="83" w:name="_Toc15396620"/>
      <w:r>
        <w:rPr>
          <w:rFonts w:hint="eastAsia" w:ascii="仿宋" w:hAnsi="仿宋" w:eastAsia="仿宋"/>
          <w:b w:val="0"/>
        </w:rPr>
        <w:t>二、收</w:t>
      </w:r>
      <w:r>
        <w:rPr>
          <w:rStyle w:val="32"/>
          <w:rFonts w:hint="eastAsia" w:ascii="仿宋" w:hAnsi="仿宋" w:eastAsia="仿宋"/>
          <w:b w:val="0"/>
          <w:bCs w:val="0"/>
        </w:rPr>
        <w:t>入决算表</w:t>
      </w:r>
      <w:bookmarkEnd w:id="82"/>
      <w:bookmarkEnd w:id="83"/>
    </w:p>
    <w:p>
      <w:pPr>
        <w:pStyle w:val="4"/>
        <w:rPr>
          <w:rFonts w:ascii="仿宋" w:hAnsi="仿宋" w:eastAsia="仿宋"/>
        </w:rPr>
      </w:pPr>
      <w:bookmarkStart w:id="84" w:name="_Toc15396621"/>
      <w:bookmarkStart w:id="85" w:name="_Toc16587"/>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84"/>
      <w:bookmarkEnd w:id="85"/>
    </w:p>
    <w:p>
      <w:pPr>
        <w:pStyle w:val="4"/>
        <w:rPr>
          <w:rFonts w:ascii="仿宋" w:hAnsi="仿宋" w:eastAsia="仿宋"/>
          <w:b w:val="0"/>
        </w:rPr>
      </w:pPr>
      <w:bookmarkStart w:id="86" w:name="_Toc15396622"/>
      <w:bookmarkStart w:id="87" w:name="_Toc12104"/>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86"/>
      <w:bookmarkEnd w:id="87"/>
    </w:p>
    <w:p>
      <w:pPr>
        <w:pStyle w:val="4"/>
        <w:rPr>
          <w:rStyle w:val="32"/>
          <w:rFonts w:ascii="仿宋" w:hAnsi="仿宋" w:eastAsia="仿宋"/>
          <w:b w:val="0"/>
          <w:bCs w:val="0"/>
        </w:rPr>
      </w:pPr>
      <w:bookmarkStart w:id="88" w:name="_Toc22183"/>
      <w:bookmarkStart w:id="89"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88"/>
      <w:bookmarkEnd w:id="89"/>
      <w:bookmarkStart w:id="90" w:name="_Toc15396624"/>
    </w:p>
    <w:p>
      <w:pPr>
        <w:pStyle w:val="4"/>
        <w:rPr>
          <w:rFonts w:ascii="仿宋" w:hAnsi="仿宋" w:eastAsia="仿宋"/>
        </w:rPr>
      </w:pPr>
      <w:bookmarkStart w:id="91" w:name="_Toc18552"/>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90"/>
      <w:bookmarkEnd w:id="91"/>
    </w:p>
    <w:p>
      <w:pPr>
        <w:pStyle w:val="4"/>
        <w:rPr>
          <w:rFonts w:ascii="仿宋" w:hAnsi="仿宋" w:eastAsia="仿宋"/>
        </w:rPr>
      </w:pPr>
      <w:bookmarkStart w:id="92" w:name="_Toc15396625"/>
      <w:bookmarkStart w:id="93" w:name="_Toc14821"/>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92"/>
      <w:bookmarkEnd w:id="93"/>
    </w:p>
    <w:p>
      <w:pPr>
        <w:pStyle w:val="4"/>
        <w:rPr>
          <w:rFonts w:ascii="仿宋" w:hAnsi="仿宋" w:eastAsia="仿宋"/>
        </w:rPr>
      </w:pPr>
      <w:bookmarkStart w:id="94" w:name="_Toc15396626"/>
      <w:bookmarkStart w:id="95" w:name="_Toc21744"/>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94"/>
      <w:bookmarkEnd w:id="95"/>
    </w:p>
    <w:p>
      <w:pPr>
        <w:pStyle w:val="4"/>
        <w:rPr>
          <w:rFonts w:ascii="仿宋" w:hAnsi="仿宋" w:eastAsia="仿宋"/>
        </w:rPr>
      </w:pPr>
      <w:bookmarkStart w:id="96" w:name="_Toc10769"/>
      <w:bookmarkStart w:id="97"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96"/>
      <w:bookmarkEnd w:id="97"/>
    </w:p>
    <w:p>
      <w:pPr>
        <w:pStyle w:val="4"/>
        <w:rPr>
          <w:rFonts w:ascii="仿宋" w:hAnsi="仿宋" w:eastAsia="仿宋"/>
        </w:rPr>
      </w:pPr>
      <w:bookmarkStart w:id="98" w:name="_Toc15396628"/>
      <w:bookmarkStart w:id="99" w:name="_Toc6999"/>
      <w:r>
        <w:rPr>
          <w:rStyle w:val="32"/>
          <w:rFonts w:hint="eastAsia" w:ascii="仿宋" w:hAnsi="仿宋" w:eastAsia="仿宋"/>
          <w:b w:val="0"/>
          <w:bCs w:val="0"/>
        </w:rPr>
        <w:t>十、</w:t>
      </w:r>
      <w:bookmarkEnd w:id="98"/>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99"/>
    </w:p>
    <w:p>
      <w:pPr>
        <w:pStyle w:val="4"/>
        <w:rPr>
          <w:rFonts w:ascii="仿宋" w:hAnsi="仿宋" w:eastAsia="仿宋"/>
        </w:rPr>
      </w:pPr>
      <w:bookmarkStart w:id="100" w:name="_Toc15396629"/>
      <w:bookmarkStart w:id="101" w:name="_Toc2870"/>
      <w:r>
        <w:rPr>
          <w:rStyle w:val="32"/>
          <w:rFonts w:hint="eastAsia" w:ascii="仿宋" w:hAnsi="仿宋" w:eastAsia="仿宋"/>
          <w:b w:val="0"/>
          <w:bCs w:val="0"/>
        </w:rPr>
        <w:t>十一、</w:t>
      </w:r>
      <w:bookmarkEnd w:id="100"/>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101"/>
    </w:p>
    <w:p>
      <w:pPr>
        <w:pStyle w:val="4"/>
        <w:rPr>
          <w:rFonts w:ascii="仿宋" w:hAnsi="仿宋" w:eastAsia="仿宋"/>
        </w:rPr>
      </w:pPr>
      <w:bookmarkStart w:id="102" w:name="_Toc15396630"/>
      <w:bookmarkStart w:id="103" w:name="_Toc28530"/>
      <w:r>
        <w:rPr>
          <w:rStyle w:val="32"/>
          <w:rFonts w:hint="eastAsia" w:ascii="仿宋" w:hAnsi="仿宋" w:eastAsia="仿宋"/>
          <w:b w:val="0"/>
          <w:bCs w:val="0"/>
        </w:rPr>
        <w:t>十二、</w:t>
      </w:r>
      <w:bookmarkEnd w:id="102"/>
      <w:r>
        <w:rPr>
          <w:rStyle w:val="32"/>
          <w:rFonts w:hint="eastAsia" w:ascii="仿宋" w:hAnsi="仿宋" w:eastAsia="仿宋"/>
          <w:b w:val="0"/>
          <w:bCs w:val="0"/>
        </w:rPr>
        <w:t>国有资本经营预算财政拨款支出决算表</w:t>
      </w:r>
      <w:bookmarkEnd w:id="103"/>
    </w:p>
    <w:p>
      <w:pPr>
        <w:pStyle w:val="4"/>
        <w:rPr>
          <w:rStyle w:val="32"/>
          <w:rFonts w:ascii="仿宋" w:hAnsi="仿宋" w:eastAsia="仿宋"/>
          <w:b w:val="0"/>
          <w:bCs w:val="0"/>
        </w:rPr>
      </w:pPr>
      <w:bookmarkStart w:id="104" w:name="_Toc15396631"/>
      <w:bookmarkStart w:id="105" w:name="_Toc27239"/>
      <w:r>
        <w:rPr>
          <w:rStyle w:val="32"/>
          <w:rFonts w:hint="eastAsia" w:ascii="仿宋" w:hAnsi="仿宋" w:eastAsia="仿宋"/>
          <w:b w:val="0"/>
          <w:bCs w:val="0"/>
        </w:rPr>
        <w:t>十三、</w:t>
      </w:r>
      <w:bookmarkEnd w:id="104"/>
      <w:r>
        <w:rPr>
          <w:rStyle w:val="32"/>
          <w:rFonts w:hint="eastAsia" w:ascii="仿宋" w:hAnsi="仿宋" w:eastAsia="仿宋"/>
          <w:b w:val="0"/>
          <w:bCs w:val="0"/>
        </w:rPr>
        <w:t>财政拨款“三公”经费支出决算表</w:t>
      </w:r>
      <w:bookmarkEnd w:id="105"/>
    </w:p>
    <w:p>
      <w:pPr>
        <w:pStyle w:val="16"/>
        <w:spacing w:line="560" w:lineRule="exact"/>
        <w:ind w:left="0" w:leftChars="0" w:firstLine="0" w:firstLineChars="0"/>
        <w:rPr>
          <w:rStyle w:val="32"/>
          <w:rFonts w:ascii="仿宋" w:hAnsi="仿宋" w:eastAsia="仿宋"/>
          <w:b w:val="0"/>
          <w:bCs w:val="0"/>
        </w:rPr>
      </w:pPr>
      <w:bookmarkStart w:id="106" w:name="_Toc30969"/>
      <w:r>
        <w:rPr>
          <w:rStyle w:val="32"/>
          <w:rFonts w:hint="eastAsia" w:ascii="仿宋" w:hAnsi="仿宋" w:eastAsia="仿宋"/>
          <w:b w:val="0"/>
          <w:bCs w:val="0"/>
        </w:rPr>
        <w:t>十四、部门预算项目支出绩效自评表（2022年度）</w:t>
      </w:r>
    </w:p>
    <w:bookmarkEnd w:id="10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3037"/>
    <w:multiLevelType w:val="singleLevel"/>
    <w:tmpl w:val="85F5303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jMzNlMzBlN2IyZmJlZTlkYzBhYWI0NmRmMzIxZDYifQ=="/>
  </w:docVars>
  <w:rsids>
    <w:rsidRoot w:val="00F1361C"/>
    <w:rsid w:val="000222C6"/>
    <w:rsid w:val="0002549F"/>
    <w:rsid w:val="000436E6"/>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4F7B"/>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AE3"/>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4E8B"/>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20B4"/>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225"/>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7E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626A"/>
    <w:rsid w:val="00F754A1"/>
    <w:rsid w:val="00F81FD9"/>
    <w:rsid w:val="00F841AA"/>
    <w:rsid w:val="00F84A94"/>
    <w:rsid w:val="00F87E96"/>
    <w:rsid w:val="00FA23E8"/>
    <w:rsid w:val="00FD3CC1"/>
    <w:rsid w:val="00FF1E02"/>
    <w:rsid w:val="00FF30B4"/>
    <w:rsid w:val="015975B8"/>
    <w:rsid w:val="01CD0A2F"/>
    <w:rsid w:val="02143E91"/>
    <w:rsid w:val="021A09FD"/>
    <w:rsid w:val="02287B56"/>
    <w:rsid w:val="029307AF"/>
    <w:rsid w:val="066E0107"/>
    <w:rsid w:val="069C2B7B"/>
    <w:rsid w:val="07996F6E"/>
    <w:rsid w:val="084A2963"/>
    <w:rsid w:val="0A2032A3"/>
    <w:rsid w:val="0D16652A"/>
    <w:rsid w:val="0F98263C"/>
    <w:rsid w:val="101860EC"/>
    <w:rsid w:val="109B08AC"/>
    <w:rsid w:val="10C055FF"/>
    <w:rsid w:val="118107EC"/>
    <w:rsid w:val="11E64458"/>
    <w:rsid w:val="13D50BC4"/>
    <w:rsid w:val="13F015BE"/>
    <w:rsid w:val="166A66F1"/>
    <w:rsid w:val="16BB723D"/>
    <w:rsid w:val="177B7D38"/>
    <w:rsid w:val="17F378CF"/>
    <w:rsid w:val="1B572FBE"/>
    <w:rsid w:val="1BE8440E"/>
    <w:rsid w:val="1C0F0E15"/>
    <w:rsid w:val="1D155CEE"/>
    <w:rsid w:val="1D304783"/>
    <w:rsid w:val="1DF70D99"/>
    <w:rsid w:val="1E1B50BA"/>
    <w:rsid w:val="1FF35744"/>
    <w:rsid w:val="20B91C0A"/>
    <w:rsid w:val="23860B96"/>
    <w:rsid w:val="240371BF"/>
    <w:rsid w:val="245F02C4"/>
    <w:rsid w:val="24923142"/>
    <w:rsid w:val="2593449F"/>
    <w:rsid w:val="25DD55FB"/>
    <w:rsid w:val="265979B6"/>
    <w:rsid w:val="26F6702B"/>
    <w:rsid w:val="28920197"/>
    <w:rsid w:val="29FD04D3"/>
    <w:rsid w:val="29FF5DE5"/>
    <w:rsid w:val="2C251BC9"/>
    <w:rsid w:val="2C8A61B5"/>
    <w:rsid w:val="2DF04E50"/>
    <w:rsid w:val="2F040D46"/>
    <w:rsid w:val="312F5EB8"/>
    <w:rsid w:val="319F7F4E"/>
    <w:rsid w:val="31D43E75"/>
    <w:rsid w:val="3304709D"/>
    <w:rsid w:val="36AA5135"/>
    <w:rsid w:val="36CE17DB"/>
    <w:rsid w:val="376D39B2"/>
    <w:rsid w:val="37E16F03"/>
    <w:rsid w:val="37E73CB2"/>
    <w:rsid w:val="38D469F0"/>
    <w:rsid w:val="3AA4342D"/>
    <w:rsid w:val="3B1A06AF"/>
    <w:rsid w:val="3B64626A"/>
    <w:rsid w:val="3D98207C"/>
    <w:rsid w:val="3E78745D"/>
    <w:rsid w:val="44E268DA"/>
    <w:rsid w:val="45A2455E"/>
    <w:rsid w:val="483E46A7"/>
    <w:rsid w:val="4A627F82"/>
    <w:rsid w:val="4ABDCA81"/>
    <w:rsid w:val="4B0E749A"/>
    <w:rsid w:val="4B4F25DA"/>
    <w:rsid w:val="4BE068DB"/>
    <w:rsid w:val="4C1E7F90"/>
    <w:rsid w:val="4C853352"/>
    <w:rsid w:val="4D577224"/>
    <w:rsid w:val="4E4D7031"/>
    <w:rsid w:val="4EAB630A"/>
    <w:rsid w:val="4ECE2238"/>
    <w:rsid w:val="4FB235F0"/>
    <w:rsid w:val="51745FB6"/>
    <w:rsid w:val="537E6D0A"/>
    <w:rsid w:val="56165074"/>
    <w:rsid w:val="5AF92295"/>
    <w:rsid w:val="5CD71FC4"/>
    <w:rsid w:val="5D9E6F62"/>
    <w:rsid w:val="604C77ED"/>
    <w:rsid w:val="60A85D53"/>
    <w:rsid w:val="60B27C05"/>
    <w:rsid w:val="62441E7E"/>
    <w:rsid w:val="630F1ADC"/>
    <w:rsid w:val="66FE3A6F"/>
    <w:rsid w:val="68C87588"/>
    <w:rsid w:val="69366BE8"/>
    <w:rsid w:val="6A79672B"/>
    <w:rsid w:val="6C4A05C8"/>
    <w:rsid w:val="6E7E3605"/>
    <w:rsid w:val="6FF5CC65"/>
    <w:rsid w:val="70487E79"/>
    <w:rsid w:val="70C7715B"/>
    <w:rsid w:val="715C0E4B"/>
    <w:rsid w:val="717E170D"/>
    <w:rsid w:val="72734D90"/>
    <w:rsid w:val="72E55E9F"/>
    <w:rsid w:val="73AD73D5"/>
    <w:rsid w:val="73B6EB34"/>
    <w:rsid w:val="744731E5"/>
    <w:rsid w:val="75050077"/>
    <w:rsid w:val="75D05CCE"/>
    <w:rsid w:val="769626D8"/>
    <w:rsid w:val="76E3355F"/>
    <w:rsid w:val="778769C8"/>
    <w:rsid w:val="78312B1C"/>
    <w:rsid w:val="79EE5BA4"/>
    <w:rsid w:val="79FB12E1"/>
    <w:rsid w:val="7A894339"/>
    <w:rsid w:val="7EEF11D3"/>
    <w:rsid w:val="7FA30C79"/>
    <w:rsid w:val="7FB7269E"/>
    <w:rsid w:val="7FC96657"/>
    <w:rsid w:val="D8D6DB89"/>
    <w:rsid w:val="DB6F4CAB"/>
    <w:rsid w:val="DF6F9789"/>
    <w:rsid w:val="FFFDFB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Body Text"/>
    <w:basedOn w:val="1"/>
    <w:next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Body Text First Indent"/>
    <w:basedOn w:val="6"/>
    <w:qFormat/>
    <w:uiPriority w:val="0"/>
    <w:pPr>
      <w:autoSpaceDE w:val="0"/>
      <w:spacing w:line="580" w:lineRule="exact"/>
      <w:ind w:firstLine="624"/>
    </w:pPr>
    <w:rPr>
      <w:spacing w:val="2"/>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0"/>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9"/>
    <w:link w:val="9"/>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汇政正文-最终版"/>
    <w:basedOn w:val="1"/>
    <w:qFormat/>
    <w:uiPriority w:val="3"/>
    <w:pPr>
      <w:spacing w:line="600" w:lineRule="exact"/>
      <w:ind w:firstLine="200" w:firstLineChars="200"/>
    </w:pPr>
    <w:rPr>
      <w:kern w:val="0"/>
      <w:szCs w:val="28"/>
      <w:lang w:val="zh-CN"/>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'[2022-2023减灾中心电费对比表.xls]Sheet2'!$A$2</c:f>
              <c:strCache>
                <c:ptCount val="1"/>
                <c:pt idx="0">
                  <c:v>2021年</c:v>
                </c:pt>
              </c:strCache>
            </c:strRef>
          </c:tx>
          <c:spPr>
            <a:solidFill>
              <a:schemeClr val="accent6">
                <a:lumMod val="75000"/>
              </a:schemeClr>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收入总计</c:v>
                </c:pt>
                <c:pt idx="1">
                  <c:v>支出总计</c:v>
                </c:pt>
              </c:strCache>
            </c:strRef>
          </c:cat>
          <c:val>
            <c:numRef>
              <c:f>'[2022-2023减灾中心电费对比表.xls]Sheet2'!$B$2:$C$2</c:f>
              <c:numCache>
                <c:formatCode>General</c:formatCode>
                <c:ptCount val="2"/>
                <c:pt idx="0">
                  <c:v>2282.33</c:v>
                </c:pt>
                <c:pt idx="1">
                  <c:v>2282.33</c:v>
                </c:pt>
              </c:numCache>
            </c:numRef>
          </c:val>
        </c:ser>
        <c:ser>
          <c:idx val="1"/>
          <c:order val="1"/>
          <c:tx>
            <c:strRef>
              <c:f>'[2022-2023减灾中心电费对比表.xls]Sheet2'!$A$3</c:f>
              <c:strCache>
                <c:ptCount val="1"/>
                <c:pt idx="0">
                  <c:v>2022年</c:v>
                </c:pt>
              </c:strCache>
            </c:strRef>
          </c:tx>
          <c:spPr>
            <a:solidFill>
              <a:schemeClr val="accent2"/>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收入总计</c:v>
                </c:pt>
                <c:pt idx="1">
                  <c:v>支出总计</c:v>
                </c:pt>
              </c:strCache>
            </c:strRef>
          </c:cat>
          <c:val>
            <c:numRef>
              <c:f>'[2022-2023减灾中心电费对比表.xls]Sheet2'!$B$3:$C$3</c:f>
              <c:numCache>
                <c:formatCode>General</c:formatCode>
                <c:ptCount val="2"/>
                <c:pt idx="0">
                  <c:v>3009.33</c:v>
                </c:pt>
                <c:pt idx="1">
                  <c:v>3009.33</c:v>
                </c:pt>
              </c:numCache>
            </c:numRef>
          </c:val>
        </c:ser>
        <c:dLbls>
          <c:showLegendKey val="0"/>
          <c:showVal val="1"/>
          <c:showCatName val="0"/>
          <c:showSerName val="0"/>
          <c:showPercent val="0"/>
          <c:showBubbleSize val="0"/>
        </c:dLbls>
        <c:gapWidth val="150"/>
        <c:overlap val="-25"/>
        <c:axId val="210778368"/>
        <c:axId val="210808832"/>
      </c:barChart>
      <c:catAx>
        <c:axId val="210778368"/>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808832"/>
        <c:crosses val="autoZero"/>
        <c:auto val="1"/>
        <c:lblAlgn val="ctr"/>
        <c:lblOffset val="100"/>
        <c:noMultiLvlLbl val="0"/>
      </c:catAx>
      <c:valAx>
        <c:axId val="210808832"/>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07783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收入决算结构图</a:t>
            </a:r>
            <a:endParaRPr altLang="en-US"/>
          </a:p>
        </c:rich>
      </c:tx>
      <c:layout/>
      <c:overlay val="0"/>
      <c:spPr>
        <a:noFill/>
        <a:ln>
          <a:noFill/>
        </a:ln>
        <a:effectLst/>
      </c:spPr>
    </c:title>
    <c:autoTitleDeleted val="0"/>
    <c:plotArea>
      <c:layout/>
      <c:pieChart>
        <c:varyColors val="1"/>
        <c:ser>
          <c:idx val="0"/>
          <c:order val="0"/>
          <c:tx>
            <c:strRef>
              <c:f>'[2022-2023减灾中心电费对比表.xls]Sheet2'!$A$2</c:f>
              <c:strCache>
                <c:ptCount val="1"/>
                <c:pt idx="0">
                  <c:v>2022</c:v>
                </c:pt>
              </c:strCache>
            </c:strRef>
          </c:tx>
          <c:explosion val="0"/>
          <c:dPt>
            <c:idx val="0"/>
            <c:bubble3D val="0"/>
            <c:spPr>
              <a:solidFill>
                <a:schemeClr val="accent3">
                  <a:lumMod val="60000"/>
                  <a:lumOff val="40000"/>
                </a:schemeClr>
              </a:solidFill>
              <a:ln w="19050">
                <a:solidFill>
                  <a:schemeClr val="lt1"/>
                </a:solidFill>
              </a:ln>
              <a:effectLst/>
            </c:spPr>
          </c:dPt>
          <c:dPt>
            <c:idx val="1"/>
            <c:bubble3D val="0"/>
            <c:spPr>
              <a:solidFill>
                <a:schemeClr val="accent6">
                  <a:lumMod val="60000"/>
                  <a:lumOff val="4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一般公共预算财政拨款收入</c:v>
                </c:pt>
                <c:pt idx="1">
                  <c:v>其他收入</c:v>
                </c:pt>
              </c:strCache>
            </c:strRef>
          </c:cat>
          <c:val>
            <c:numRef>
              <c:f>'[2022-2023减灾中心电费对比表.xls]Sheet2'!$B$2:$C$2</c:f>
              <c:numCache>
                <c:formatCode>General</c:formatCode>
                <c:ptCount val="2"/>
                <c:pt idx="0">
                  <c:v>1927.49</c:v>
                </c:pt>
                <c:pt idx="1">
                  <c:v>1081.84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788736875597"/>
          <c:y val="0.4021645021645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支出决算结构图</a:t>
            </a:r>
            <a:endParaRPr altLang="en-US"/>
          </a:p>
        </c:rich>
      </c:tx>
      <c:layout/>
      <c:overlay val="0"/>
      <c:spPr>
        <a:noFill/>
        <a:ln>
          <a:noFill/>
        </a:ln>
        <a:effectLst/>
      </c:spPr>
    </c:title>
    <c:autoTitleDeleted val="0"/>
    <c:plotArea>
      <c:layout/>
      <c:pieChart>
        <c:varyColors val="1"/>
        <c:ser>
          <c:idx val="0"/>
          <c:order val="0"/>
          <c:tx>
            <c:strRef>
              <c:f>'[2022-2023减灾中心电费对比表.xls]Sheet2'!$A$2</c:f>
              <c:strCache>
                <c:ptCount val="1"/>
                <c:pt idx="0">
                  <c:v>2022</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基本支出</c:v>
                </c:pt>
                <c:pt idx="1">
                  <c:v>项目支出</c:v>
                </c:pt>
              </c:strCache>
            </c:strRef>
          </c:cat>
          <c:val>
            <c:numRef>
              <c:f>'[2022-2023减灾中心电费对比表.xls]Sheet2'!$B$2:$C$2</c:f>
              <c:numCache>
                <c:formatCode>General</c:formatCode>
                <c:ptCount val="2"/>
                <c:pt idx="0">
                  <c:v>1307.99</c:v>
                </c:pt>
                <c:pt idx="1">
                  <c:v>1701.34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788736875597"/>
          <c:y val="0.4021645021645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'[2022-2023减灾中心电费对比表.xls]Sheet2'!$A$2</c:f>
              <c:strCache>
                <c:ptCount val="1"/>
                <c:pt idx="0">
                  <c:v>2021年</c:v>
                </c:pt>
              </c:strCache>
            </c:strRef>
          </c:tx>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财政拨款收入</c:v>
                </c:pt>
                <c:pt idx="1">
                  <c:v>财政拨款支出</c:v>
                </c:pt>
              </c:strCache>
            </c:strRef>
          </c:cat>
          <c:val>
            <c:numRef>
              <c:f>'[2022-2023减灾中心电费对比表.xls]Sheet2'!$B$2:$C$2</c:f>
              <c:numCache>
                <c:formatCode>General</c:formatCode>
                <c:ptCount val="2"/>
                <c:pt idx="0">
                  <c:v>1594.29</c:v>
                </c:pt>
                <c:pt idx="1">
                  <c:v>1816.02</c:v>
                </c:pt>
              </c:numCache>
            </c:numRef>
          </c:val>
        </c:ser>
        <c:ser>
          <c:idx val="1"/>
          <c:order val="1"/>
          <c:tx>
            <c:strRef>
              <c:f>'[2022-2023减灾中心电费对比表.xls]Sheet2'!$A$3</c:f>
              <c:strCache>
                <c:ptCount val="1"/>
                <c:pt idx="0">
                  <c:v>2022年</c:v>
                </c:pt>
              </c:strCache>
            </c:strRef>
          </c:tx>
          <c:spPr>
            <a:solidFill>
              <a:schemeClr val="accent6">
                <a:lumMod val="75000"/>
              </a:schemeClr>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财政拨款收入</c:v>
                </c:pt>
                <c:pt idx="1">
                  <c:v>财政拨款支出</c:v>
                </c:pt>
              </c:strCache>
            </c:strRef>
          </c:cat>
          <c:val>
            <c:numRef>
              <c:f>'[2022-2023减灾中心电费对比表.xls]Sheet2'!$B$3:$C$3</c:f>
              <c:numCache>
                <c:formatCode>General</c:formatCode>
                <c:ptCount val="2"/>
                <c:pt idx="0">
                  <c:v>1927.49</c:v>
                </c:pt>
                <c:pt idx="1">
                  <c:v>1927.49</c:v>
                </c:pt>
              </c:numCache>
            </c:numRef>
          </c:val>
        </c:ser>
        <c:dLbls>
          <c:showLegendKey val="0"/>
          <c:showVal val="1"/>
          <c:showCatName val="0"/>
          <c:showSerName val="0"/>
          <c:showPercent val="0"/>
          <c:showBubbleSize val="0"/>
        </c:dLbls>
        <c:gapWidth val="150"/>
        <c:overlap val="-25"/>
        <c:axId val="213077376"/>
        <c:axId val="213079168"/>
      </c:barChart>
      <c:catAx>
        <c:axId val="213077376"/>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079168"/>
        <c:crosses val="autoZero"/>
        <c:auto val="1"/>
        <c:lblAlgn val="ctr"/>
        <c:lblOffset val="100"/>
        <c:noMultiLvlLbl val="0"/>
      </c:catAx>
      <c:valAx>
        <c:axId val="213079168"/>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307737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一般公共预算财政拨款支出决算变动情况</a:t>
            </a:r>
            <a:endParaRPr altLang="en-US"/>
          </a:p>
        </c:rich>
      </c:tx>
      <c:layout/>
      <c:overlay val="0"/>
      <c:spPr>
        <a:noFill/>
        <a:ln>
          <a:noFill/>
        </a:ln>
        <a:effectLst/>
      </c:spPr>
    </c:title>
    <c:autoTitleDeleted val="0"/>
    <c:plotArea>
      <c:layout>
        <c:manualLayout>
          <c:layoutTarget val="inner"/>
          <c:xMode val="edge"/>
          <c:yMode val="edge"/>
          <c:x val="0.0390009606147935"/>
          <c:y val="0.30090435735818"/>
          <c:w val="0.915465898174832"/>
          <c:h val="0.566566182515758"/>
        </c:manualLayout>
      </c:layout>
      <c:barChart>
        <c:barDir val="col"/>
        <c:grouping val="clustered"/>
        <c:varyColors val="0"/>
        <c:ser>
          <c:idx val="0"/>
          <c:order val="0"/>
          <c:tx>
            <c:strRef>
              <c:f>'[2022-2023减灾中心电费对比表.xls]Sheet2'!$A$2</c:f>
              <c:strCache>
                <c:ptCount val="1"/>
                <c:pt idx="0">
                  <c:v/>
                </c:pt>
              </c:strCache>
            </c:strRef>
          </c:tx>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'[2022-2023减灾中心电费对比表.xls]Sheet2'!$B$1:$C$1</c:f>
              <c:numCache>
                <c:formatCode>General</c:formatCode>
                <c:ptCount val="2"/>
                <c:pt idx="0">
                  <c:v>2022</c:v>
                </c:pt>
                <c:pt idx="1">
                  <c:v>2021</c:v>
                </c:pt>
              </c:numCache>
            </c:numRef>
          </c:cat>
          <c:val>
            <c:numRef>
              <c:f>'[2022-2023减灾中心电费对比表.xls]Sheet2'!$B$2:$C$2</c:f>
              <c:numCache>
                <c:formatCode>General</c:formatCode>
                <c:ptCount val="2"/>
                <c:pt idx="0">
                  <c:v>1927.49</c:v>
                </c:pt>
                <c:pt idx="1">
                  <c:v>1816.02</c:v>
                </c:pt>
              </c:numCache>
            </c:numRef>
          </c:val>
        </c:ser>
        <c:ser>
          <c:idx val="1"/>
          <c:order val="1"/>
          <c:tx>
            <c:strRef>
              <c:f>'[2022-2023减灾中心电费对比表.xls]Sheet2'!$A$3</c:f>
              <c:strCache>
                <c:ptCount val="1"/>
                <c:pt idx="0">
                  <c:v/>
                </c:pt>
              </c:strCache>
            </c:strRef>
          </c:tx>
          <c:spPr>
            <a:solidFill>
              <a:schemeClr val="accent2"/>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'[2022-2023减灾中心电费对比表.xls]Sheet2'!$B$1:$C$1</c:f>
              <c:numCache>
                <c:formatCode>General</c:formatCode>
                <c:ptCount val="2"/>
                <c:pt idx="0">
                  <c:v>2022</c:v>
                </c:pt>
                <c:pt idx="1">
                  <c:v>2021</c:v>
                </c:pt>
              </c:numCache>
            </c:numRef>
          </c:cat>
          <c:val>
            <c:numRef>
              <c:f>'[2022-2023减灾中心电费对比表.xls]Sheet2'!$B$3:$C$3</c:f>
              <c:numCache>
                <c:formatCode>General</c:formatCode>
                <c:ptCount val="2"/>
              </c:numCache>
            </c:numRef>
          </c:val>
        </c:ser>
        <c:dLbls>
          <c:showLegendKey val="0"/>
          <c:showVal val="1"/>
          <c:showCatName val="0"/>
          <c:showSerName val="0"/>
          <c:showPercent val="0"/>
          <c:showBubbleSize val="0"/>
        </c:dLbls>
        <c:gapWidth val="150"/>
        <c:overlap val="-25"/>
        <c:axId val="213113088"/>
        <c:axId val="214188032"/>
      </c:barChart>
      <c:catAx>
        <c:axId val="213113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188032"/>
        <c:crosses val="autoZero"/>
        <c:auto val="1"/>
        <c:lblAlgn val="ctr"/>
        <c:lblOffset val="100"/>
        <c:noMultiLvlLbl val="0"/>
      </c:catAx>
      <c:valAx>
        <c:axId val="214188032"/>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311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一般公共预算财政拨款支出决算结构</a:t>
            </a:r>
            <a:endParaRPr altLang="en-US"/>
          </a:p>
        </c:rich>
      </c:tx>
      <c:layout>
        <c:manualLayout>
          <c:xMode val="edge"/>
          <c:yMode val="edge"/>
          <c:x val="0.18044537230341"/>
          <c:y val="0.0259067357512953"/>
        </c:manualLayout>
      </c:layout>
      <c:overlay val="0"/>
      <c:spPr>
        <a:noFill/>
        <a:ln>
          <a:noFill/>
        </a:ln>
        <a:effectLst/>
      </c:spPr>
    </c:title>
    <c:autoTitleDeleted val="0"/>
    <c:plotArea>
      <c:layout/>
      <c:pieChart>
        <c:varyColors val="1"/>
        <c:ser>
          <c:idx val="0"/>
          <c:order val="0"/>
          <c:tx>
            <c:strRef>
              <c:f>'[2022-2023减灾中心电费对比表.xls]Sheet2'!$A$2</c:f>
              <c:strCache>
                <c:ptCount val="1"/>
                <c:pt idx="0">
                  <c:v/>
                </c:pt>
              </c:strCache>
            </c:strRef>
          </c:tx>
          <c:spPr>
            <a:solidFill>
              <a:schemeClr val="accent6">
                <a:lumMod val="75000"/>
              </a:schemeClr>
            </a:solidFill>
          </c:spPr>
          <c:explosion val="0"/>
          <c:dPt>
            <c:idx val="0"/>
            <c:bubble3D val="0"/>
            <c:spPr>
              <a:solidFill>
                <a:schemeClr val="accent6">
                  <a:lumMod val="75000"/>
                </a:schemeClr>
              </a:solidFill>
              <a:ln w="19050">
                <a:solidFill>
                  <a:schemeClr val="lt1"/>
                </a:solidFill>
              </a:ln>
              <a:effectLst/>
            </c:spPr>
          </c:dPt>
          <c:dPt>
            <c:idx val="1"/>
            <c:bubble3D val="0"/>
            <c:spPr>
              <a:solidFill>
                <a:schemeClr val="accent5">
                  <a:lumMod val="60000"/>
                  <a:lumOff val="40000"/>
                </a:schemeClr>
              </a:solidFill>
              <a:ln w="19050">
                <a:solidFill>
                  <a:schemeClr val="lt1"/>
                </a:solidFill>
              </a:ln>
              <a:effectLst/>
            </c:spPr>
          </c:dPt>
          <c:dPt>
            <c:idx val="2"/>
            <c:bubble3D val="0"/>
            <c:spPr>
              <a:solidFill>
                <a:schemeClr val="accent2">
                  <a:lumMod val="60000"/>
                  <a:lumOff val="40000"/>
                </a:schemeClr>
              </a:solidFill>
              <a:ln w="19050">
                <a:solidFill>
                  <a:schemeClr val="lt1"/>
                </a:solidFill>
              </a:ln>
              <a:effectLst/>
            </c:spPr>
          </c:dPt>
          <c:dPt>
            <c:idx val="3"/>
            <c:bubble3D val="0"/>
            <c:spPr>
              <a:solidFill>
                <a:schemeClr val="accent3">
                  <a:lumMod val="75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'[2022-2023减灾中心电费对比表.xls]Sheet2'!$B$1:$E$1</c:f>
              <c:strCache>
                <c:ptCount val="4"/>
                <c:pt idx="0">
                  <c:v>社会保障和就业支出</c:v>
                </c:pt>
                <c:pt idx="1">
                  <c:v>卫生健康支出</c:v>
                </c:pt>
                <c:pt idx="2">
                  <c:v>住房保障支出</c:v>
                </c:pt>
                <c:pt idx="3">
                  <c:v>灾害防治及应急管理支出</c:v>
                </c:pt>
              </c:strCache>
            </c:strRef>
          </c:cat>
          <c:val>
            <c:numRef>
              <c:f>'[2022-2023减灾中心电费对比表.xls]Sheet2'!$B$2:$E$2</c:f>
              <c:numCache>
                <c:formatCode>General</c:formatCode>
                <c:ptCount val="4"/>
                <c:pt idx="0">
                  <c:v>87.71</c:v>
                </c:pt>
                <c:pt idx="1">
                  <c:v>38.15</c:v>
                </c:pt>
                <c:pt idx="2">
                  <c:v>82.04</c:v>
                </c:pt>
                <c:pt idx="3">
                  <c:v>1719.59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“三公”经费财政拨款支出结构</a:t>
            </a:r>
            <a:endParaRPr altLang="en-US"/>
          </a:p>
        </c:rich>
      </c:tx>
      <c:layout>
        <c:manualLayout>
          <c:xMode val="edge"/>
          <c:yMode val="edge"/>
          <c:x val="0.18044537230341"/>
          <c:y val="0.0259067357512953"/>
        </c:manualLayout>
      </c:layout>
      <c:overlay val="0"/>
      <c:spPr>
        <a:noFill/>
        <a:ln>
          <a:noFill/>
        </a:ln>
        <a:effectLst/>
      </c:spPr>
    </c:title>
    <c:autoTitleDeleted val="0"/>
    <c:plotArea>
      <c:layout/>
      <c:pieChart>
        <c:varyColors val="1"/>
        <c:ser>
          <c:idx val="0"/>
          <c:order val="0"/>
          <c:tx>
            <c:strRef>
              <c:f>'[2022-2023减灾中心电费对比表.xls]Sheet2'!$A$2</c:f>
              <c:strCache>
                <c:ptCount val="1"/>
                <c:pt idx="0">
                  <c:v/>
                </c:pt>
              </c:strCache>
            </c:strRef>
          </c:tx>
          <c:spPr>
            <a:solidFill>
              <a:schemeClr val="accent6">
                <a:lumMod val="75000"/>
              </a:schemeClr>
            </a:solidFill>
          </c:spPr>
          <c:explosion val="0"/>
          <c:dPt>
            <c:idx val="0"/>
            <c:bubble3D val="0"/>
            <c:spPr>
              <a:solidFill>
                <a:schemeClr val="accent6">
                  <a:lumMod val="75000"/>
                </a:schemeClr>
              </a:solidFill>
              <a:ln w="19050">
                <a:solidFill>
                  <a:schemeClr val="lt1"/>
                </a:solidFill>
              </a:ln>
              <a:effectLst/>
            </c:spPr>
          </c:dPt>
          <c:dPt>
            <c:idx val="1"/>
            <c:bubble3D val="0"/>
            <c:spPr>
              <a:solidFill>
                <a:schemeClr val="tx2">
                  <a:lumMod val="60000"/>
                  <a:lumOff val="40000"/>
                </a:schemeClr>
              </a:solidFill>
              <a:ln w="19050">
                <a:solidFill>
                  <a:schemeClr val="lt1"/>
                </a:solidFill>
              </a:ln>
              <a:effectLst/>
            </c:spPr>
          </c:dPt>
          <c:dPt>
            <c:idx val="2"/>
            <c:bubble3D val="0"/>
            <c:spPr>
              <a:solidFill>
                <a:schemeClr val="accent4">
                  <a:lumMod val="60000"/>
                  <a:lumOff val="4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'[2022-2023减灾中心电费对比表.xls]Sheet2'!$B$1:$D$1</c:f>
              <c:strCache>
                <c:ptCount val="3"/>
                <c:pt idx="0">
                  <c:v>因公出国（境）费支出</c:v>
                </c:pt>
                <c:pt idx="1">
                  <c:v>公务用车购置及运行维护费支出</c:v>
                </c:pt>
                <c:pt idx="2">
                  <c:v>公务接待费支出</c:v>
                </c:pt>
              </c:strCache>
            </c:strRef>
          </c:cat>
          <c:val>
            <c:numRef>
              <c:f>'[2022-2023减灾中心电费对比表.xls]Sheet2'!$B$2:$D$2</c:f>
              <c:numCache>
                <c:formatCode>General</c:formatCode>
                <c:ptCount val="3"/>
                <c:pt idx="0">
                  <c:v>0</c:v>
                </c:pt>
                <c:pt idx="1">
                  <c:v>59.01</c:v>
                </c:pt>
                <c:pt idx="2">
                  <c:v>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13086</Words>
  <Characters>14648</Characters>
  <Lines>122</Lines>
  <Paragraphs>34</Paragraphs>
  <TotalTime>99</TotalTime>
  <ScaleCrop>false</ScaleCrop>
  <LinksUpToDate>false</LinksUpToDate>
  <CharactersWithSpaces>14768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--媛</cp:lastModifiedBy>
  <cp:lastPrinted>2023-07-31T18:35:00Z</cp:lastPrinted>
  <dcterms:modified xsi:type="dcterms:W3CDTF">2023-08-25T03:24:33Z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1AFA18A0177049BA886D2B95A8B3B8A5_12</vt:lpwstr>
  </property>
</Properties>
</file>