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1</w:t>
      </w:r>
      <w:bookmarkEnd w:id="0"/>
    </w:p>
    <w:p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安全生产专项整治三年行动2021年重点攻坚任务清单</w:t>
      </w:r>
    </w:p>
    <w:p>
      <w:pPr>
        <w:rPr>
          <w:rFonts w:ascii="Calibri" w:hAnsi="Calibri"/>
          <w:color w:val="auto"/>
          <w:lang w:val="en"/>
        </w:rPr>
      </w:pPr>
    </w:p>
    <w:tbl>
      <w:tblPr>
        <w:tblStyle w:val="2"/>
        <w:tblpPr w:leftFromText="180" w:rightFromText="180" w:vertAnchor="text" w:horzAnchor="page" w:tblpX="1690" w:tblpY="224"/>
        <w:tblOverlap w:val="never"/>
        <w:tblW w:w="137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993"/>
        <w:gridCol w:w="1780"/>
        <w:gridCol w:w="589"/>
        <w:gridCol w:w="8192"/>
        <w:gridCol w:w="1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tblHeader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等线"/>
                <w:sz w:val="24"/>
              </w:rPr>
            </w:pPr>
            <w:r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黑体" w:hAnsi="黑体" w:eastAsia="黑体" w:cs="等线"/>
                <w:sz w:val="24"/>
              </w:rPr>
            </w:pPr>
            <w:r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  <w:t>行业领域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等线"/>
                <w:sz w:val="24"/>
              </w:rPr>
            </w:pPr>
            <w:r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  <w:t>重点整治问题</w:t>
            </w:r>
          </w:p>
        </w:tc>
        <w:tc>
          <w:tcPr>
            <w:tcW w:w="8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黑体" w:hAnsi="黑体" w:eastAsia="黑体" w:cs="等线"/>
                <w:sz w:val="24"/>
              </w:rPr>
            </w:pPr>
            <w:r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  <w:t>攻坚任务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等线"/>
                <w:sz w:val="24"/>
              </w:rPr>
            </w:pPr>
            <w:r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学习宣传贯彻习近平总书记重要论述专题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重点整治学习习近平总书记重要论述没有入脑入心、走深走实，安全发展理念树得不牢，没有科学统筹发展与安全等问题。</w:t>
            </w:r>
          </w:p>
        </w:tc>
        <w:tc>
          <w:tcPr>
            <w:tcW w:w="8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黑体" w:hAnsi="黑体" w:eastAsia="黑体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集中组织观看《生命重于泰山——学习习近平总书记关于安全生产重要论述》电视专题片。将专题片纳入组织应急系统负责非煤矿山、工贸行业安全监管干部和企业负责人、安全管理人员的教育培训内容，进一步提升安全生产理论素养和安全管理能力。</w:t>
            </w:r>
          </w:p>
        </w:tc>
        <w:tc>
          <w:tcPr>
            <w:tcW w:w="1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落实企业安全生产主体责专题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重点整治企业领导层、管理层安全责任落实不到位，安全监管机构、制度不健全，风险辨识和隐患治理不彻底，教育培训不到位等问题。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（1）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建立非煤矿山及工贸行业安全检查清单、企业安全承诺清单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（2）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持续推进企业安全生产标准化建设，2021年完成安全生产标准化三级达标工矿商贸企业60家、二级达标5家。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（3）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健全完善企业安全风险防控机制，督促指导非煤矿山、金属冶炼企业建成完善安全风险管控制度。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（4）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ascii="Calibri" w:hAnsi="Calibri" w:eastAsia="仿宋" w:cs="等线"/>
                <w:kern w:val="0"/>
                <w:sz w:val="24"/>
                <w:lang w:bidi="ar"/>
              </w:rPr>
              <w:t>健全完善企业安全隐患排查治理机制</w:t>
            </w: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，</w:t>
            </w:r>
            <w:r>
              <w:rPr>
                <w:rFonts w:ascii="Calibri" w:hAnsi="Calibri" w:eastAsia="仿宋" w:cs="等线"/>
                <w:kern w:val="0"/>
                <w:sz w:val="24"/>
                <w:lang w:bidi="ar"/>
              </w:rPr>
              <w:t>指导企业落实日常安全工作清单，</w:t>
            </w: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进一步完善隐患排查治理制度，</w:t>
            </w:r>
            <w:r>
              <w:rPr>
                <w:rFonts w:ascii="Calibri" w:hAnsi="Calibri" w:eastAsia="仿宋" w:cs="等线"/>
                <w:kern w:val="0"/>
                <w:sz w:val="24"/>
                <w:lang w:bidi="ar"/>
              </w:rPr>
              <w:t>规范分级分类排查治理标准，</w:t>
            </w: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从隐患排查、登记、治理、报告、销账实现闭环管理。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（5）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督促指导企业根据实际需求，加强和保障安全生产投入，夯实安全生产基层基础，提升应急救援能力建设，持续提升企业本质安全水平。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非煤矿山安全整治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重点整治非煤矿山安全基础薄弱、外包工程安全管理缺失、外包工程施工队伍挂靠资质等问题。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（1）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大力提升安全生产水平。督促企业严格落实清单制管理工作，建立健全安全生产风险分级管控与隐患排查治理体系，提高安全生产标准化工作质量，提升企业从业人员安全技能。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（2）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加强安全准入源头风险管控。对市本级近3年来审批的建设项目开展“回头看”抽查排查,对未执行“三同时”相关规定的建设项目要补办相关手续，认真整改。对逾期未整改的，责令停产停业整顿，确保安全设施建设落实到位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（3）</w:t>
            </w:r>
          </w:p>
        </w:tc>
        <w:tc>
          <w:tcPr>
            <w:tcW w:w="81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加大整顿关闭力度，严厉打击违法违规行为，整治以变更设计为由超期建设、以建设之名行生产之实、不按设计建设、以探代采等行为，督促关闭经整改后仍不具备法定安全生产条件的非煤矿山。开展石油天然气企业防井喷、防硫化氢中毒监督检查，提升重点企业安全监测监控能力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工贸行业安重点环节全整治</w:t>
            </w:r>
          </w:p>
        </w:tc>
        <w:tc>
          <w:tcPr>
            <w:tcW w:w="1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Calibri" w:hAnsi="Calibri" w:eastAsia="仿宋" w:cs="等线"/>
                <w:color w:val="0070C0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重点整治冶金企业、有限空间作业、涉爆粉尘、液氨制冷、检修和外包施工队伍管理等问题。</w:t>
            </w: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（1）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进一步完善安全生产责任体系，督促工贸企业构建安全风险分级管控和隐患排查治理双重预防机制，努力实现高温金属熔融、涉爆粉尘、有限空间作业等重点环节部位的风险有效管控。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0070C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（2）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开展工贸重点行业（领域）专项治理。围绕食品加工重点企业、冶金有色企业、有限空间作业、涉爆粉尘、液氨制冷等开展专项治理。规范企业高处作业和外包施工安全管理，防范高坠事故。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0070C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（3）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持续强化教育培训，加强行业部门间培训资源和专家库共享，定期开展工贸行业安全培训，提升监管人员专业素养和能力。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0070C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（4）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加强行业安全管理队伍建设，推动各工贸企业充实配齐安全管理人员，确保重点领域工贸企业注册安全工程师数量，鼓励其他领域工贸企业安全管理人员进行注册安全工程师培训。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  <w:tc>
          <w:tcPr>
            <w:tcW w:w="1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color w:val="0070C0"/>
                <w:sz w:val="24"/>
              </w:rPr>
            </w:pPr>
          </w:p>
        </w:tc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Calibri" w:hAnsi="Calibri" w:eastAsia="仿宋" w:cs="等线"/>
                <w:sz w:val="24"/>
              </w:rPr>
            </w:pPr>
            <w:r>
              <w:rPr>
                <w:rFonts w:hint="eastAsia" w:ascii="Calibri" w:hAnsi="Calibri" w:eastAsia="仿宋" w:cs="等线"/>
                <w:sz w:val="24"/>
              </w:rPr>
              <w:t>（5）</w:t>
            </w:r>
          </w:p>
        </w:tc>
        <w:tc>
          <w:tcPr>
            <w:tcW w:w="8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</w:pPr>
            <w:r>
              <w:rPr>
                <w:rFonts w:hint="eastAsia" w:ascii="Calibri" w:hAnsi="Calibri" w:eastAsia="仿宋" w:cs="等线"/>
                <w:kern w:val="0"/>
                <w:sz w:val="24"/>
                <w:lang w:bidi="ar"/>
              </w:rPr>
              <w:t>开展事故集中领域隐患专项治理。聚焦工贸企业燃烧爆炸、电气火灾、坠落坍塌等事故多发易发领域，开展防范易燃易爆物品使用、电气火灾事故及“坠落坍塌”隐患专项整治。指导主管范围工业厂房及配套房屋安全隐患排查整治工作，督促企业落实有效防控措施，规范进行安全管理。</w:t>
            </w:r>
          </w:p>
        </w:tc>
        <w:tc>
          <w:tcPr>
            <w:tcW w:w="1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Calibri" w:hAnsi="Calibri" w:eastAsia="仿宋" w:cs="等线"/>
                <w:sz w:val="24"/>
              </w:rPr>
            </w:pPr>
          </w:p>
        </w:tc>
      </w:tr>
    </w:tbl>
    <w:p>
      <w:pPr>
        <w:widowControl/>
        <w:spacing w:line="400" w:lineRule="exact"/>
        <w:ind w:firstLine="420" w:firstLineChars="200"/>
        <w:textAlignment w:val="center"/>
        <w:rPr>
          <w:rFonts w:ascii="Calibri" w:hAnsi="Calibri"/>
          <w:color w:val="auto"/>
          <w:lang w:val="en"/>
        </w:rPr>
      </w:pPr>
      <w:r>
        <w:rPr>
          <w:rFonts w:hint="eastAsia" w:ascii="Calibri" w:hAnsi="Calibri"/>
          <w:color w:val="auto"/>
          <w:lang w:val="en"/>
        </w:rPr>
        <w:t>备注：</w:t>
      </w:r>
      <w:r>
        <w:rPr>
          <w:rFonts w:hint="eastAsia" w:ascii="Calibri" w:hAnsi="Calibri" w:eastAsia="仿宋" w:cs="等线"/>
          <w:kern w:val="0"/>
          <w:sz w:val="24"/>
          <w:lang w:bidi="ar"/>
        </w:rPr>
        <w:t>各级应急管理部门牵头攻坚，其它行业监管部门按照（遂安委〔2021〕10号）职责分工落实。</w:t>
      </w:r>
    </w:p>
    <w:p>
      <w:pPr>
        <w:rPr>
          <w:rFonts w:ascii="Calibri" w:hAnsi="Calibri"/>
          <w:color w:val="auto"/>
          <w:lang w:val="e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01480"/>
    <w:rsid w:val="28B0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2022-02-18T09:30:00Z</dcterms:created>
  <dc:creator>郭鑫</dc:creator>
  <cp:lastModifiedBy>郭鑫</cp:lastModifiedBy>
  <dcterms:modified xsi:type="dcterms:W3CDTF">2022-02-18T09:30:11Z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A83ADF4A950649DD9F648140226E5BF6</vt:lpwstr>
  </property>
</Properties>
</file>