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napToGrid/>
        <w:spacing w:line="579" w:lineRule="exact"/>
        <w:ind w:left="0" w:leftChars="0" w:firstLine="0" w:firstLineChars="0"/>
        <w:textAlignment w:val="auto"/>
        <w:rPr>
          <w:rStyle w:val="7"/>
          <w:rFonts w:hint="eastAsia" w:ascii="方正黑体_GBK" w:hAnsi="方正黑体_GBK" w:eastAsia="方正黑体_GBK" w:cs="方正黑体_GBK"/>
          <w:sz w:val="32"/>
          <w:szCs w:val="32"/>
          <w:lang w:val="en-US" w:eastAsia="zh-CN"/>
        </w:rPr>
      </w:pPr>
      <w:r>
        <w:rPr>
          <w:rStyle w:val="7"/>
          <w:rFonts w:hint="eastAsia" w:ascii="方正黑体_GBK" w:hAnsi="方正黑体_GBK" w:eastAsia="方正黑体_GBK" w:cs="方正黑体_GBK"/>
          <w:sz w:val="32"/>
          <w:szCs w:val="32"/>
          <w:lang w:val="en-US" w:eastAsia="zh-CN"/>
        </w:rPr>
        <w:t>附件2</w:t>
      </w:r>
    </w:p>
    <w:p>
      <w:pPr>
        <w:pStyle w:val="6"/>
        <w:keepNext w:val="0"/>
        <w:keepLines w:val="0"/>
        <w:pageBreakBefore w:val="0"/>
        <w:kinsoku/>
        <w:wordWrap/>
        <w:overflowPunct/>
        <w:topLinePunct w:val="0"/>
        <w:autoSpaceDE/>
        <w:autoSpaceDN/>
        <w:bidi w:val="0"/>
        <w:adjustRightInd/>
        <w:snapToGrid/>
        <w:spacing w:line="579" w:lineRule="exact"/>
        <w:ind w:left="0" w:leftChars="0" w:firstLine="0" w:firstLineChars="0"/>
        <w:textAlignment w:val="auto"/>
        <w:rPr>
          <w:rStyle w:val="7"/>
          <w:rFonts w:hint="eastAsia" w:ascii="方正黑体_GBK" w:hAnsi="方正黑体_GBK" w:eastAsia="方正黑体_GBK" w:cs="方正黑体_GBK"/>
          <w:sz w:val="32"/>
          <w:szCs w:val="32"/>
          <w:lang w:val="en-US" w:eastAsia="zh-CN"/>
        </w:rPr>
      </w:pPr>
    </w:p>
    <w:p>
      <w:pPr>
        <w:pStyle w:val="6"/>
        <w:keepNext w:val="0"/>
        <w:keepLines w:val="0"/>
        <w:pageBreakBefore w:val="0"/>
        <w:kinsoku/>
        <w:wordWrap/>
        <w:overflowPunct/>
        <w:topLinePunct w:val="0"/>
        <w:autoSpaceDE/>
        <w:autoSpaceDN/>
        <w:bidi w:val="0"/>
        <w:adjustRightInd/>
        <w:snapToGrid/>
        <w:spacing w:line="579" w:lineRule="exact"/>
        <w:ind w:left="0" w:leftChars="0" w:firstLine="0" w:firstLineChars="0"/>
        <w:jc w:val="center"/>
        <w:textAlignment w:val="auto"/>
        <w:rPr>
          <w:rStyle w:val="7"/>
          <w:rFonts w:hint="eastAsia" w:ascii="方正小标宋_GBK" w:hAnsi="方正小标宋_GBK" w:eastAsia="方正小标宋_GBK" w:cs="方正小标宋_GBK"/>
          <w:sz w:val="44"/>
          <w:szCs w:val="44"/>
          <w:lang w:val="en-US" w:eastAsia="zh-CN"/>
        </w:rPr>
      </w:pPr>
      <w:bookmarkStart w:id="0" w:name="_GoBack"/>
      <w:r>
        <w:rPr>
          <w:rStyle w:val="7"/>
          <w:rFonts w:hint="eastAsia" w:ascii="方正小标宋_GBK" w:hAnsi="方正小标宋_GBK" w:eastAsia="方正小标宋_GBK" w:cs="方正小标宋_GBK"/>
          <w:sz w:val="44"/>
          <w:szCs w:val="44"/>
          <w:lang w:val="en-US" w:eastAsia="zh-CN"/>
        </w:rPr>
        <w:t>安全生产十五条措施</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jc w:val="both"/>
        <w:textAlignment w:val="auto"/>
        <w:rPr>
          <w:rStyle w:val="5"/>
          <w:rFonts w:hint="eastAsia" w:ascii="仿宋_GB2312" w:hAnsi="仿宋_GB2312" w:eastAsia="仿宋_GB2312" w:cs="仿宋_GB2312"/>
          <w:b/>
          <w:i w:val="0"/>
          <w:caps w:val="0"/>
          <w:color w:val="333333"/>
          <w:spacing w:val="0"/>
          <w:sz w:val="32"/>
          <w:szCs w:val="32"/>
        </w:rPr>
      </w:pP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jc w:val="both"/>
        <w:textAlignment w:val="auto"/>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t>严格落实地方党委安全生产责任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地方各级党委要牢固树立安全发展理念，始终把人民群众生命安全放在第一位。要定期组织党委理论学习中心组跟进学习贯彻习近平总书记关于安全生产重要论述。严格落实《地方党政领导干部安全生产责任制规定》，严格落实“党政同责、一岗双责、齐抓共管、失职追责”，综合运用巡查督查、考核考察、激励惩戒等措施加强对安全生产工作的组织领导。加大安全生产等约束性指标在经济社会发展考核评价体系中的权重，将履行安全生产责任情况作为对党委政府领导班子和有关领导干部考核、有关人选考察的重要内容。党委主要负责人要亲力亲为、靠前协调，定期主持党委常委会会议研究安全监管部门领导班子、干部队伍、执法力量建设等重大问题。党委常委会其他成员要按照职责分工，协调纪检监察机关和组织、宣传、政法、机构编制等单位支持保障安全生产工作。</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leftChars="0" w:right="0" w:firstLine="640" w:firstLineChars="0"/>
        <w:jc w:val="both"/>
        <w:textAlignment w:val="auto"/>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t>严格落实地方政府安全生产责任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地方各级政府要组织制定政府领导干部安全生产“职责清单”和“年度任务清单”。政府主要负责人要根据党委会议的要求，及时研究解决突出问题。其他领导干部要分兵把口、严格履责，切实抓好分管行业领域安全生产工作，并把安全生产工作贯穿业务工作全过程。各级安委会要创造条件实体化运行，组织定期研判重大安全风险，滚动排查重大安全隐患，主动协调加强民航、铁路、电力、商渔船碰撞等跨区域跨部门安全工作。</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leftChars="0" w:right="0" w:firstLine="640" w:firstLineChars="0"/>
        <w:jc w:val="both"/>
        <w:textAlignment w:val="auto"/>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t>严格落实部门安全监管责任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各有关部门要按照“管行业必须管安全、管业务必须管安全、管生产经营必须管安全”和“谁主管谁负责”的原则，依法依规抓紧编制安全生产权力和责任清单。对职能交叉和新业态新风险，按照“谁主管谁牵头、谁为主谁牵头、谁靠近谁牵头”的原则及时明确监管责任，各有关部门要主动担当，不得推诿扯皮。对直接关系安全的取消下放事项，要实事求是开展评估，基层接不住、监管跟不上的要及时予以纠正，必要时要收回，酿成事故的要严肃追责。应急管理部门要理直气壮履行安委会办公室职责，发挥统筹、协调、指导作用，加强考核巡查、警示提醒、挂牌督办、提级调查，督促各部门落实安全监管责任。</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leftChars="0" w:right="0" w:firstLine="640" w:firstLineChars="0"/>
        <w:jc w:val="both"/>
        <w:textAlignment w:val="auto"/>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t>严肃追究领导责任和监管责任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对不认真履行职责，发生较大及以上生产安全事故的，不仅要追究直接责任，而且要追究地方党委和政府领导责任、有关部门的监管责任，特别是重特大事故要追究主要领导、分管领导的责任。对非法煤矿、违法盗采等严重违法违规行为没有采取有效制止措施甚至放任不管的，要依规依纪依法追究县、乡党委和政府主要负责人的责任，构成犯罪的移交司法机关追究刑事责任。</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leftChars="0" w:right="0" w:firstLine="640" w:firstLineChars="0"/>
        <w:jc w:val="both"/>
        <w:textAlignment w:val="auto"/>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t>企业主要负责人必须严格履行第一责任人责任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企业法定代表人、实际控制人、实际负责人，要严格履行安全生产第一责任人责任，对本单位安全生产负总责。对故意增加管理层级，层层推卸责任、设置追责“防火墙”的，发生重特大事故要直接追究集团公司主要负责人、分管负责人的责任。要严格落实重大危险源安全包保责任制、矿长带班下井等制度规定，对弄虚作假、搞“挂名矿长”逃避安全责任的，依法追究企业实际控制人的责任。对发生重特大事故负有主要责任的，在追究刑事责任的同时，明确终身不得担任本行业单位主要负责人。</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leftChars="0" w:right="0" w:firstLine="640" w:firstLineChars="0"/>
        <w:jc w:val="both"/>
        <w:textAlignment w:val="auto"/>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t>深入扎实开展全国安全生产大检查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国务院安委会立即组织开展全国安全生产大检查。各地区各有关部门要全面深入排查重大风险隐患，列出清单、明确要求、压实责任、限期整改。盯紧守牢可能造成群死群伤的重大风险隐患，由省、市级安委会或中央企业总部挂牌督办。统筹疫情防控和公共安全，对人员密集场所和高层建筑封闭安全出口、疏散通道的，立即责令整改。对排查整治不认真，未列入清单、经查实属于重大隐患的，要当作事故对待，引发事故的要从严从重追究责任。</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leftChars="0" w:right="0" w:firstLine="640" w:firstLineChars="0"/>
        <w:jc w:val="both"/>
        <w:textAlignment w:val="auto"/>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t>牢牢守住项目审批安全红线</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各级发展改革部门要建立完善安全风险评估与论证机制，严把项目审批安全关。传统产业转移要符合国家产业发展规划和地方规划，严格执行国家各行业的规范标准，严格安全监管，坚决淘汰落后产能。化工产业转移集中承接地省级政府要列出重点项目清单，组织市县集中检查，不达安全标准的不能上马和开工，已经运行的坚决整改。对地方政府违规审批、强行上马的不达标项目，造成事故的要终身追责。</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leftChars="0" w:right="0" w:firstLine="640" w:firstLineChars="0"/>
        <w:jc w:val="both"/>
        <w:textAlignment w:val="auto"/>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t>严厉查处违法分包转包和挂靠资质行为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严肃查处建筑施工、矿山、化工等高危行业领域违法分包转包行为，严肃追究发包方、承包方相应法律责任。严格资质管理，坚持“谁的资质谁负责、挂谁的牌子谁负责”，对发生生产安全事故的严格追究资质方的责任。国有企业特别是中央企业要发挥表率作用，企业集团总部要建强安全生产专业技术管理团队，加强对下属企业安全生产的指导、监督、考核和奖惩，不具备条件的不得盲目承接相关业务，并加强对分包单位等关联单位安全生产的指导、监督，实行安全生产的统一管理；对违法分包转包的行为，通报其上级主管部门及纪检监察部门，并依规依纪依法追究相关人员责任。</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leftChars="0" w:right="0" w:firstLine="640" w:firstLineChars="0"/>
        <w:jc w:val="both"/>
        <w:textAlignment w:val="auto"/>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t>切实加强劳务派遣和灵活用工人员安全管理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生产经营单位要将接受其作业指令的劳务派遣人员、灵活用工人员纳入本单位从业人员安全生产的统一管理，履行安全生产保障责任。危险岗位要严格控制劳务派遣用工数量，未经安全知识培训合格的不能上岗。对劳务派遣用工和灵活用工人员数量较多的行业领域，有关行业主管部门要重点加强安全监管，对企业全员安全生产责任制落实不到位的责令限期整改。中央企业、地方国有企业要带头减少危险作业领域灵活用工人员，但不能以安全生产为名辞退农民工，要提高工人安全素质，提升企业本质安全水平。</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leftChars="0" w:right="0" w:firstLine="640" w:firstLineChars="0"/>
        <w:jc w:val="both"/>
        <w:textAlignment w:val="auto"/>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t>重拳出击开展“打非治违”</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针对当前一些地方和行业领域违法违规生产经营建设问题突出，立即组织开展“打非治违”专项行动。对矿山违法盗采、油气管道乱挖乱钻、危化品非法生产运输经营、建筑无资质施工和层层转包、客车客船渔船非法营运等典型非法违法行为，依法精准采取停产整顿、关闭取缔、上限处罚、追究法律责任等执法措施。狠抓一批违法违规行为和事故的处理。深挖严打违法行为背后的“保护伞”。</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leftChars="0" w:right="0" w:firstLine="640" w:firstLineChars="0"/>
        <w:jc w:val="both"/>
        <w:textAlignment w:val="auto"/>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t>坚决整治执法检查宽松软问题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安全生产执法检查要理直气壮，紧盯各类违法行为不放，督促企业彻底整改。强化精准执法，按照省市县三级执法管理权限，确定各级管辖企业名单，明确重点检查企业和重点执法事项，突出对典型事故暴露出的严重违法行为，举一反三加强执法检查。强化专业执法，组织专家参与执法过程，解决安全检查查不出问题的难题。创新监管执法方式，大力推行异地交叉检查，充分利用在线远程巡查、用水用电监测、电子封条等信息化手段，及时发现违法盗采、冒险作业等行为，对关停的矿山要停止供电，派人现场盯守或巡查，严防明停暗采。</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leftChars="0" w:right="0" w:firstLine="640" w:firstLineChars="0"/>
        <w:jc w:val="both"/>
        <w:textAlignment w:val="auto"/>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t>着力加强安全监管执法队伍建设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针对安全生产执法队伍“人少质弱”的实际，各地要按照不同安全风险等级企业数量，配齐建强市县两级监管执法队伍，确保有足够力量承担安全生产监管执法任务，不得层层转移下放执法责任。加强执法队伍专业化建设，配强领导班子、充实专业干部、培养执法骨干力量，加强专业执法装备配备，健全经费保障机制，尽快提高执法专业能力和保障水平。</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leftChars="0" w:right="0" w:firstLine="640" w:firstLineChars="0"/>
        <w:jc w:val="both"/>
        <w:textAlignment w:val="auto"/>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t>重奖激励安全生产隐患举报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鼓励社会公众通过政务热线、举报电话和网站、来信来访等多种方式，对安全生产重大风险、事故隐患和违法行为进行举报。用好安全生产“吹哨人”制度，鼓励企业内部员工举报安全生产违法行为。负有安全生产监督管理职责的部门要及时处理举报，依法保护举报人，不得私自泄露有关个人信息；根据风险程度落实举报奖励，对报告重大安全风险、重大事故隐患或者举报安全生产违法行为的有功人员实行重奖。</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leftChars="0" w:right="0" w:firstLine="640" w:firstLineChars="0"/>
        <w:jc w:val="both"/>
        <w:textAlignment w:val="auto"/>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t>严肃查处瞒报谎报迟报漏报事故行为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严格落实事故直报制度，生产安全事故隐瞒不报、谎报或者拖延不报的，对直接责任人和负有管理和领导责任的人员依规依纪依法从严追究责任。对初步认定的瞒报事故，一律由上级安委会挂牌督办，必要时提级调查。</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leftChars="0" w:right="0" w:firstLine="640" w:firstLineChars="0"/>
        <w:jc w:val="both"/>
        <w:textAlignment w:val="auto"/>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t>统筹做好经济发展、疫情防控和安全生产工作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注意调动各方面积极性，提倡互相协助、相互尊重、齐心合力，共同解决好面对的复杂问题。各级监管部门要注意从实际出发，处理好“红灯”“绿灯”“黄灯”之间的关系，使各项工作协调有序推进，引导形成良好市场预期。各级党委政府要把握好政策基调，坚持稳中求进，善于“弹钢琴”，高质量统筹做好各方面工作。</w:t>
      </w:r>
    </w:p>
    <w:p>
      <w:pPr>
        <w:rPr>
          <w:rFonts w:hint="eastAsia" w:ascii="仿宋_GB2312" w:hAnsi="仿宋_GB2312" w:eastAsia="仿宋_GB2312" w:cs="仿宋_GB2312"/>
          <w:b/>
          <w:bCs/>
          <w:sz w:val="32"/>
          <w:szCs w:val="32"/>
          <w:lang w:val="en-US" w:eastAsia="zh-CN"/>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7C46A"/>
    <w:multiLevelType w:val="singleLevel"/>
    <w:tmpl w:val="BEF7C4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221F5"/>
    <w:rsid w:val="61022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 w:type="paragraph" w:customStyle="1" w:styleId="6">
    <w:name w:val="公文主体"/>
    <w:basedOn w:val="1"/>
    <w:qFormat/>
    <w:uiPriority w:val="0"/>
    <w:pPr>
      <w:spacing w:line="580" w:lineRule="exact"/>
      <w:ind w:firstLine="200" w:firstLineChars="200"/>
    </w:pPr>
    <w:rPr>
      <w:rFonts w:ascii="Calibri" w:hAnsi="Calibri" w:eastAsia="仿宋_GB2312" w:cs="Times New Roman"/>
      <w:sz w:val="32"/>
      <w:szCs w:val="24"/>
    </w:rPr>
  </w:style>
  <w:style w:type="character" w:customStyle="1" w:styleId="7">
    <w:name w:val="二级标题 Char"/>
    <w:link w:val="8"/>
    <w:qFormat/>
    <w:uiPriority w:val="0"/>
    <w:rPr>
      <w:rFonts w:eastAsia="楷体_GB2312" w:asciiTheme="minorHAnsi" w:hAnsiTheme="minorHAnsi" w:cstheme="minorBidi"/>
      <w:sz w:val="21"/>
      <w:szCs w:val="22"/>
    </w:rPr>
  </w:style>
  <w:style w:type="paragraph" w:customStyle="1" w:styleId="8">
    <w:name w:val="二级标题"/>
    <w:basedOn w:val="6"/>
    <w:next w:val="6"/>
    <w:link w:val="7"/>
    <w:qFormat/>
    <w:uiPriority w:val="0"/>
    <w:pPr>
      <w:outlineLvl w:val="3"/>
    </w:pPr>
    <w:rPr>
      <w:rFonts w:eastAsia="楷体_GB2312" w:asciiTheme="minorHAnsi" w:hAnsiTheme="minorHAnsi" w:cstheme="minorBidi"/>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2022-04-15T02:15:00Z</dcterms:created>
  <dc:creator>86152</dc:creator>
  <cp:lastModifiedBy>86152</cp:lastModifiedBy>
  <dcterms:modified xsi:type="dcterms:W3CDTF">2022-04-15T02:15:32Z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61341474C7FF49C693D40C1BD667EA49</vt:lpwstr>
  </property>
</Properties>
</file>