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76" w:lineRule="exact"/>
        <w:jc w:val="left"/>
        <w:rPr>
          <w:rFonts w:eastAsia="黑体"/>
          <w:bCs/>
          <w:szCs w:val="24"/>
        </w:rPr>
      </w:pPr>
      <w:r>
        <w:rPr>
          <w:rFonts w:hint="eastAsia" w:eastAsia="黑体"/>
          <w:bCs/>
          <w:sz w:val="32"/>
          <w:szCs w:val="32"/>
        </w:rPr>
        <w:t>附件</w:t>
      </w:r>
      <w:r>
        <w:rPr>
          <w:rFonts w:eastAsia="黑体"/>
          <w:bCs/>
          <w:sz w:val="32"/>
          <w:szCs w:val="32"/>
        </w:rPr>
        <w:t>4-1</w:t>
      </w:r>
    </w:p>
    <w:p>
      <w:pPr>
        <w:autoSpaceDN w:val="0"/>
        <w:spacing w:line="576" w:lineRule="exact"/>
        <w:jc w:val="center"/>
        <w:rPr>
          <w:rFonts w:eastAsia="方正小标宋简体"/>
          <w:sz w:val="44"/>
          <w:szCs w:val="44"/>
        </w:rPr>
      </w:pPr>
      <w:r>
        <w:rPr>
          <w:rFonts w:hint="eastAsia" w:eastAsia="方正小标宋简体"/>
          <w:sz w:val="44"/>
          <w:szCs w:val="44"/>
        </w:rPr>
        <w:t>督查事项清单</w:t>
      </w:r>
    </w:p>
    <w:p>
      <w:pPr>
        <w:autoSpaceDN w:val="0"/>
        <w:spacing w:line="576" w:lineRule="exact"/>
        <w:jc w:val="center"/>
        <w:rPr>
          <w:rFonts w:eastAsia="方正小标宋简体"/>
          <w:sz w:val="44"/>
          <w:szCs w:val="44"/>
        </w:rPr>
      </w:pPr>
      <w:r>
        <w:rPr>
          <w:rFonts w:hint="eastAsia" w:eastAsia="楷体_GB2312"/>
          <w:kern w:val="0"/>
          <w:sz w:val="28"/>
          <w:szCs w:val="28"/>
        </w:rPr>
        <w:t>（党政部门层面）</w:t>
      </w:r>
    </w:p>
    <w:p>
      <w:pPr>
        <w:autoSpaceDN w:val="0"/>
        <w:spacing w:line="576" w:lineRule="exact"/>
        <w:jc w:val="center"/>
        <w:rPr>
          <w:rFonts w:eastAsia="黑体"/>
          <w:sz w:val="24"/>
          <w:szCs w:val="24"/>
        </w:rPr>
      </w:pPr>
    </w:p>
    <w:tbl>
      <w:tblPr>
        <w:tblStyle w:val="2"/>
        <w:tblW w:w="13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7671"/>
        <w:gridCol w:w="3181"/>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901" w:type="dxa"/>
            <w:noWrap w:val="0"/>
            <w:vAlign w:val="center"/>
          </w:tcPr>
          <w:p>
            <w:pPr>
              <w:autoSpaceDN w:val="0"/>
              <w:spacing w:line="576" w:lineRule="exact"/>
              <w:jc w:val="center"/>
              <w:rPr>
                <w:rFonts w:eastAsia="黑体"/>
                <w:szCs w:val="21"/>
              </w:rPr>
            </w:pPr>
            <w:r>
              <w:rPr>
                <w:rFonts w:hint="eastAsia" w:eastAsia="黑体"/>
                <w:szCs w:val="21"/>
              </w:rPr>
              <w:t>主要内容</w:t>
            </w:r>
          </w:p>
        </w:tc>
        <w:tc>
          <w:tcPr>
            <w:tcW w:w="7671" w:type="dxa"/>
            <w:noWrap w:val="0"/>
            <w:vAlign w:val="center"/>
          </w:tcPr>
          <w:p>
            <w:pPr>
              <w:autoSpaceDN w:val="0"/>
              <w:spacing w:line="576" w:lineRule="exact"/>
              <w:jc w:val="center"/>
              <w:rPr>
                <w:rFonts w:eastAsia="黑体"/>
                <w:szCs w:val="21"/>
              </w:rPr>
            </w:pPr>
            <w:r>
              <w:rPr>
                <w:rFonts w:hint="eastAsia" w:eastAsia="黑体"/>
                <w:szCs w:val="21"/>
              </w:rPr>
              <w:t>督导要点</w:t>
            </w:r>
          </w:p>
        </w:tc>
        <w:tc>
          <w:tcPr>
            <w:tcW w:w="3181" w:type="dxa"/>
            <w:noWrap w:val="0"/>
            <w:vAlign w:val="center"/>
          </w:tcPr>
          <w:p>
            <w:pPr>
              <w:autoSpaceDN w:val="0"/>
              <w:spacing w:line="576" w:lineRule="exact"/>
              <w:jc w:val="center"/>
              <w:rPr>
                <w:rFonts w:eastAsia="黑体"/>
                <w:szCs w:val="21"/>
              </w:rPr>
            </w:pPr>
            <w:r>
              <w:rPr>
                <w:rFonts w:hint="eastAsia" w:eastAsia="黑体"/>
                <w:szCs w:val="21"/>
              </w:rPr>
              <w:t>督查情况</w:t>
            </w:r>
          </w:p>
        </w:tc>
        <w:tc>
          <w:tcPr>
            <w:tcW w:w="897" w:type="dxa"/>
            <w:noWrap w:val="0"/>
            <w:vAlign w:val="center"/>
          </w:tcPr>
          <w:p>
            <w:pPr>
              <w:autoSpaceDN w:val="0"/>
              <w:spacing w:line="576" w:lineRule="exact"/>
              <w:jc w:val="center"/>
              <w:rPr>
                <w:rFonts w:eastAsia="黑体"/>
                <w:szCs w:val="21"/>
              </w:rPr>
            </w:pPr>
            <w:r>
              <w:rPr>
                <w:rFonts w:hint="eastAsia"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1" w:type="dxa"/>
            <w:noWrap w:val="0"/>
            <w:vAlign w:val="center"/>
          </w:tcPr>
          <w:p>
            <w:pPr>
              <w:autoSpaceDN w:val="0"/>
              <w:spacing w:line="280" w:lineRule="exact"/>
              <w:jc w:val="center"/>
              <w:rPr>
                <w:rFonts w:eastAsia="仿宋_GB2312"/>
                <w:szCs w:val="21"/>
              </w:rPr>
            </w:pPr>
            <w:r>
              <w:rPr>
                <w:rFonts w:hint="eastAsia" w:eastAsia="仿宋_GB2312"/>
                <w:szCs w:val="21"/>
              </w:rPr>
              <w:t>贯彻落实党中央、国务院，省委、省政府和市委市政府安全生产各项决策部署</w:t>
            </w:r>
          </w:p>
        </w:tc>
        <w:tc>
          <w:tcPr>
            <w:tcW w:w="7671" w:type="dxa"/>
            <w:noWrap w:val="0"/>
            <w:vAlign w:val="center"/>
          </w:tcPr>
          <w:p>
            <w:pPr>
              <w:autoSpaceDN w:val="0"/>
              <w:spacing w:line="280" w:lineRule="exact"/>
              <w:jc w:val="left"/>
              <w:rPr>
                <w:rFonts w:eastAsia="仿宋_GB2312"/>
                <w:szCs w:val="21"/>
              </w:rPr>
            </w:pPr>
            <w:r>
              <w:rPr>
                <w:rFonts w:eastAsia="仿宋_GB2312"/>
                <w:szCs w:val="21"/>
              </w:rPr>
              <w:t>1.</w:t>
            </w:r>
            <w:r>
              <w:rPr>
                <w:rFonts w:hint="eastAsia" w:eastAsia="仿宋_GB2312"/>
                <w:szCs w:val="21"/>
              </w:rPr>
              <w:t>传达贯彻落实习近平总书记、李克强总理等中央领导同志关于安全生产工作的重要指示批示精神，省委省政府、市委市政府等领导同志指示批示和近期国、省、市有关会议精神情况。</w:t>
            </w:r>
          </w:p>
          <w:p>
            <w:pPr>
              <w:autoSpaceDN w:val="0"/>
              <w:spacing w:line="280" w:lineRule="exact"/>
              <w:jc w:val="left"/>
              <w:rPr>
                <w:rFonts w:eastAsia="仿宋_GB2312"/>
                <w:szCs w:val="21"/>
              </w:rPr>
            </w:pPr>
            <w:r>
              <w:rPr>
                <w:rFonts w:hint="eastAsia" w:eastAsia="仿宋_GB2312"/>
                <w:szCs w:val="21"/>
              </w:rPr>
              <w:t>2.认真吸取省内外各类事故教训，举一反三开展警示活动，建立安全生产长效机制情况。</w:t>
            </w:r>
          </w:p>
        </w:tc>
        <w:tc>
          <w:tcPr>
            <w:tcW w:w="3181" w:type="dxa"/>
            <w:noWrap w:val="0"/>
            <w:vAlign w:val="center"/>
          </w:tcPr>
          <w:p>
            <w:pPr>
              <w:autoSpaceDN w:val="0"/>
              <w:spacing w:line="280" w:lineRule="exact"/>
              <w:jc w:val="left"/>
              <w:rPr>
                <w:rFonts w:eastAsia="仿宋_GB2312"/>
                <w:szCs w:val="21"/>
              </w:rPr>
            </w:pPr>
          </w:p>
        </w:tc>
        <w:tc>
          <w:tcPr>
            <w:tcW w:w="897" w:type="dxa"/>
            <w:noWrap w:val="0"/>
            <w:vAlign w:val="center"/>
          </w:tcPr>
          <w:p>
            <w:pPr>
              <w:autoSpaceDN w:val="0"/>
              <w:spacing w:line="28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1" w:type="dxa"/>
            <w:noWrap w:val="0"/>
            <w:vAlign w:val="center"/>
          </w:tcPr>
          <w:p>
            <w:pPr>
              <w:autoSpaceDN w:val="0"/>
              <w:spacing w:line="280" w:lineRule="exact"/>
              <w:jc w:val="center"/>
              <w:rPr>
                <w:rFonts w:eastAsia="仿宋_GB2312"/>
                <w:szCs w:val="21"/>
              </w:rPr>
            </w:pPr>
            <w:r>
              <w:rPr>
                <w:rFonts w:hint="eastAsia" w:eastAsia="仿宋_GB2312"/>
                <w:szCs w:val="21"/>
              </w:rPr>
              <w:t>落实党政领导干部安全生产责任</w:t>
            </w:r>
          </w:p>
        </w:tc>
        <w:tc>
          <w:tcPr>
            <w:tcW w:w="7671" w:type="dxa"/>
            <w:noWrap w:val="0"/>
            <w:vAlign w:val="center"/>
          </w:tcPr>
          <w:p>
            <w:pPr>
              <w:autoSpaceDN w:val="0"/>
              <w:spacing w:line="280" w:lineRule="exact"/>
              <w:jc w:val="left"/>
              <w:rPr>
                <w:rFonts w:eastAsia="仿宋_GB2312"/>
                <w:szCs w:val="21"/>
              </w:rPr>
            </w:pPr>
            <w:r>
              <w:rPr>
                <w:rFonts w:eastAsia="仿宋_GB2312"/>
                <w:szCs w:val="21"/>
              </w:rPr>
              <w:t>1</w:t>
            </w:r>
            <w:r>
              <w:rPr>
                <w:rFonts w:hint="eastAsia" w:eastAsia="仿宋_GB2312"/>
                <w:szCs w:val="21"/>
              </w:rPr>
              <w:t>.落实党委、政府班子及地方党政领导干部安全生产责任制规定，严格按规定开展安全生产各项工作，履职尽责情况。</w:t>
            </w:r>
          </w:p>
          <w:p>
            <w:pPr>
              <w:autoSpaceDN w:val="0"/>
              <w:spacing w:line="280" w:lineRule="exact"/>
              <w:jc w:val="left"/>
              <w:rPr>
                <w:rFonts w:eastAsia="仿宋_GB2312"/>
                <w:szCs w:val="21"/>
              </w:rPr>
            </w:pPr>
            <w:r>
              <w:rPr>
                <w:rFonts w:eastAsia="仿宋_GB2312"/>
                <w:szCs w:val="21"/>
              </w:rPr>
              <w:t>2</w:t>
            </w:r>
            <w:r>
              <w:rPr>
                <w:rFonts w:hint="eastAsia" w:eastAsia="仿宋_GB2312"/>
                <w:szCs w:val="21"/>
              </w:rPr>
              <w:t>.各级党政领导干部针对高温期、汛期、中秋、国庆等重点时段和重大活动期间安全生产工作组织开展安全风险形势研判分析，带队深入一线进行安全生产督导检查工作情况。</w:t>
            </w:r>
          </w:p>
        </w:tc>
        <w:tc>
          <w:tcPr>
            <w:tcW w:w="3181" w:type="dxa"/>
            <w:noWrap w:val="0"/>
            <w:vAlign w:val="center"/>
          </w:tcPr>
          <w:p>
            <w:pPr>
              <w:autoSpaceDN w:val="0"/>
              <w:spacing w:line="280" w:lineRule="exact"/>
              <w:jc w:val="left"/>
              <w:rPr>
                <w:rFonts w:eastAsia="仿宋_GB2312"/>
                <w:szCs w:val="21"/>
              </w:rPr>
            </w:pPr>
          </w:p>
        </w:tc>
        <w:tc>
          <w:tcPr>
            <w:tcW w:w="897" w:type="dxa"/>
            <w:noWrap w:val="0"/>
            <w:vAlign w:val="center"/>
          </w:tcPr>
          <w:p>
            <w:pPr>
              <w:autoSpaceDN w:val="0"/>
              <w:spacing w:line="28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1" w:type="dxa"/>
            <w:noWrap w:val="0"/>
            <w:vAlign w:val="center"/>
          </w:tcPr>
          <w:p>
            <w:pPr>
              <w:autoSpaceDN w:val="0"/>
              <w:spacing w:line="280" w:lineRule="exact"/>
              <w:jc w:val="center"/>
              <w:rPr>
                <w:rFonts w:eastAsia="仿宋_GB2312"/>
                <w:szCs w:val="21"/>
              </w:rPr>
            </w:pPr>
            <w:r>
              <w:rPr>
                <w:rFonts w:hint="eastAsia" w:eastAsia="仿宋_GB2312"/>
                <w:szCs w:val="21"/>
              </w:rPr>
              <w:t>部署推动“奋战一百天、护航二十大”安全生产专项行动</w:t>
            </w:r>
          </w:p>
        </w:tc>
        <w:tc>
          <w:tcPr>
            <w:tcW w:w="7671" w:type="dxa"/>
            <w:noWrap w:val="0"/>
            <w:vAlign w:val="center"/>
          </w:tcPr>
          <w:p>
            <w:pPr>
              <w:autoSpaceDN w:val="0"/>
              <w:spacing w:line="280" w:lineRule="exact"/>
              <w:jc w:val="left"/>
              <w:rPr>
                <w:rFonts w:eastAsia="仿宋_GB2312"/>
                <w:szCs w:val="21"/>
              </w:rPr>
            </w:pPr>
            <w:r>
              <w:rPr>
                <w:rFonts w:eastAsia="仿宋_GB2312"/>
                <w:szCs w:val="21"/>
              </w:rPr>
              <w:t>1</w:t>
            </w:r>
            <w:r>
              <w:rPr>
                <w:rFonts w:hint="eastAsia" w:eastAsia="仿宋_GB2312"/>
                <w:szCs w:val="21"/>
              </w:rPr>
              <w:t>.结合实际制定“奋战一百天、护航二十大”安全生产专项行动工作方案情况。</w:t>
            </w:r>
          </w:p>
          <w:p>
            <w:pPr>
              <w:autoSpaceDN w:val="0"/>
              <w:spacing w:line="280" w:lineRule="exact"/>
              <w:jc w:val="left"/>
              <w:rPr>
                <w:rFonts w:eastAsia="仿宋_GB2312"/>
                <w:szCs w:val="21"/>
              </w:rPr>
            </w:pPr>
            <w:r>
              <w:rPr>
                <w:rFonts w:eastAsia="仿宋_GB2312"/>
                <w:szCs w:val="21"/>
              </w:rPr>
              <w:t>2</w:t>
            </w:r>
            <w:r>
              <w:rPr>
                <w:rFonts w:hint="eastAsia" w:eastAsia="仿宋_GB2312"/>
                <w:szCs w:val="21"/>
              </w:rPr>
              <w:t>.政府和部门主要负责同志、分管负责同志亲自安排部署和带队开展工作情况。</w:t>
            </w:r>
          </w:p>
        </w:tc>
        <w:tc>
          <w:tcPr>
            <w:tcW w:w="3181" w:type="dxa"/>
            <w:noWrap w:val="0"/>
            <w:vAlign w:val="center"/>
          </w:tcPr>
          <w:p>
            <w:pPr>
              <w:autoSpaceDN w:val="0"/>
              <w:spacing w:line="280" w:lineRule="exact"/>
              <w:jc w:val="left"/>
              <w:rPr>
                <w:rFonts w:eastAsia="仿宋_GB2312"/>
                <w:szCs w:val="21"/>
              </w:rPr>
            </w:pPr>
          </w:p>
        </w:tc>
        <w:tc>
          <w:tcPr>
            <w:tcW w:w="897" w:type="dxa"/>
            <w:noWrap w:val="0"/>
            <w:vAlign w:val="center"/>
          </w:tcPr>
          <w:p>
            <w:pPr>
              <w:autoSpaceDN w:val="0"/>
              <w:spacing w:line="28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1" w:type="dxa"/>
            <w:noWrap w:val="0"/>
            <w:vAlign w:val="center"/>
          </w:tcPr>
          <w:p>
            <w:pPr>
              <w:autoSpaceDN w:val="0"/>
              <w:spacing w:line="280" w:lineRule="exact"/>
              <w:jc w:val="center"/>
              <w:rPr>
                <w:rFonts w:eastAsia="仿宋_GB2312"/>
                <w:szCs w:val="21"/>
              </w:rPr>
            </w:pPr>
            <w:r>
              <w:rPr>
                <w:rFonts w:hint="eastAsia" w:eastAsia="仿宋_GB2312"/>
                <w:szCs w:val="21"/>
              </w:rPr>
              <w:t>风险防控盲区清零行动</w:t>
            </w:r>
          </w:p>
        </w:tc>
        <w:tc>
          <w:tcPr>
            <w:tcW w:w="7671" w:type="dxa"/>
            <w:noWrap w:val="0"/>
            <w:vAlign w:val="center"/>
          </w:tcPr>
          <w:p>
            <w:pPr>
              <w:autoSpaceDN w:val="0"/>
              <w:spacing w:line="280" w:lineRule="exact"/>
              <w:jc w:val="left"/>
              <w:rPr>
                <w:rFonts w:eastAsia="仿宋_GB2312"/>
                <w:szCs w:val="21"/>
              </w:rPr>
            </w:pPr>
            <w:r>
              <w:rPr>
                <w:rFonts w:eastAsia="仿宋_GB2312"/>
                <w:szCs w:val="21"/>
              </w:rPr>
              <w:t>1.</w:t>
            </w:r>
            <w:r>
              <w:rPr>
                <w:rFonts w:hint="eastAsia" w:eastAsia="仿宋_GB2312"/>
                <w:szCs w:val="21"/>
              </w:rPr>
              <w:t>落实安全风险“日研月判”，全面开展安全风险辨识和评估，突出抓好重大风险防控，落实落细管控措施，彻底消除防控盲区。</w:t>
            </w:r>
          </w:p>
          <w:p>
            <w:pPr>
              <w:autoSpaceDN w:val="0"/>
              <w:spacing w:line="280" w:lineRule="exact"/>
              <w:jc w:val="left"/>
              <w:rPr>
                <w:rFonts w:eastAsia="仿宋_GB2312"/>
                <w:szCs w:val="21"/>
              </w:rPr>
            </w:pPr>
            <w:r>
              <w:rPr>
                <w:rFonts w:hint="eastAsia" w:eastAsia="仿宋_GB2312"/>
                <w:szCs w:val="21"/>
              </w:rPr>
              <w:t>2.通过“两微一端”、手机短信等多种形式做好安全风险预警提示，引导社会公众加强安全防范。</w:t>
            </w:r>
          </w:p>
          <w:p>
            <w:pPr>
              <w:autoSpaceDN w:val="0"/>
              <w:spacing w:line="280" w:lineRule="exact"/>
              <w:jc w:val="left"/>
              <w:rPr>
                <w:rFonts w:eastAsia="仿宋_GB2312"/>
                <w:szCs w:val="21"/>
              </w:rPr>
            </w:pPr>
            <w:r>
              <w:rPr>
                <w:rFonts w:eastAsia="仿宋_GB2312"/>
                <w:szCs w:val="21"/>
              </w:rPr>
              <w:t>3.</w:t>
            </w:r>
            <w:r>
              <w:rPr>
                <w:rFonts w:hint="eastAsia" w:eastAsia="仿宋_GB2312"/>
                <w:szCs w:val="21"/>
              </w:rPr>
              <w:t>督促企业建立安全风险数据库，绘制企业“红橙黄蓝”四色安全风险空间分布图，根据风险类别和等级，分级分类进行管控，确保风险防控全覆盖、无死角。</w:t>
            </w:r>
          </w:p>
        </w:tc>
        <w:tc>
          <w:tcPr>
            <w:tcW w:w="3181" w:type="dxa"/>
            <w:noWrap w:val="0"/>
            <w:vAlign w:val="center"/>
          </w:tcPr>
          <w:p>
            <w:pPr>
              <w:autoSpaceDN w:val="0"/>
              <w:spacing w:line="280" w:lineRule="exact"/>
              <w:jc w:val="left"/>
              <w:rPr>
                <w:rFonts w:eastAsia="仿宋_GB2312"/>
                <w:szCs w:val="21"/>
              </w:rPr>
            </w:pPr>
          </w:p>
        </w:tc>
        <w:tc>
          <w:tcPr>
            <w:tcW w:w="897" w:type="dxa"/>
            <w:noWrap w:val="0"/>
            <w:vAlign w:val="center"/>
          </w:tcPr>
          <w:p>
            <w:pPr>
              <w:autoSpaceDN w:val="0"/>
              <w:spacing w:line="28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1901" w:type="dxa"/>
            <w:noWrap w:val="0"/>
            <w:vAlign w:val="center"/>
          </w:tcPr>
          <w:p>
            <w:pPr>
              <w:autoSpaceDN w:val="0"/>
              <w:spacing w:line="260" w:lineRule="exact"/>
              <w:jc w:val="center"/>
              <w:rPr>
                <w:rFonts w:eastAsia="仿宋_GB2312"/>
                <w:szCs w:val="21"/>
              </w:rPr>
            </w:pPr>
            <w:r>
              <w:rPr>
                <w:rFonts w:hint="eastAsia" w:eastAsia="仿宋_GB2312"/>
                <w:szCs w:val="21"/>
              </w:rPr>
              <w:t>问题隐患整改</w:t>
            </w:r>
          </w:p>
          <w:p>
            <w:pPr>
              <w:autoSpaceDN w:val="0"/>
              <w:spacing w:line="260" w:lineRule="exact"/>
              <w:jc w:val="center"/>
              <w:rPr>
                <w:rFonts w:eastAsia="仿宋_GB2312"/>
                <w:szCs w:val="21"/>
              </w:rPr>
            </w:pPr>
            <w:r>
              <w:rPr>
                <w:rFonts w:hint="eastAsia" w:eastAsia="仿宋_GB2312"/>
                <w:szCs w:val="21"/>
              </w:rPr>
              <w:t>清零行动</w:t>
            </w:r>
          </w:p>
        </w:tc>
        <w:tc>
          <w:tcPr>
            <w:tcW w:w="7671" w:type="dxa"/>
            <w:noWrap w:val="0"/>
            <w:vAlign w:val="center"/>
          </w:tcPr>
          <w:p>
            <w:pPr>
              <w:autoSpaceDN w:val="0"/>
              <w:spacing w:line="260" w:lineRule="exact"/>
              <w:jc w:val="left"/>
              <w:rPr>
                <w:rFonts w:eastAsia="仿宋_GB2312"/>
                <w:szCs w:val="21"/>
              </w:rPr>
            </w:pPr>
            <w:r>
              <w:rPr>
                <w:rFonts w:hint="eastAsia" w:eastAsia="仿宋_GB2312"/>
                <w:szCs w:val="21"/>
              </w:rPr>
              <w:t>1.整改清零市安委会2022年挂牌的14个重大隐患情况。</w:t>
            </w:r>
          </w:p>
          <w:p>
            <w:pPr>
              <w:autoSpaceDN w:val="0"/>
              <w:spacing w:line="260" w:lineRule="exact"/>
              <w:jc w:val="left"/>
              <w:rPr>
                <w:rFonts w:eastAsia="仿宋_GB2312"/>
                <w:szCs w:val="21"/>
              </w:rPr>
            </w:pPr>
            <w:r>
              <w:rPr>
                <w:rFonts w:hint="eastAsia" w:eastAsia="仿宋_GB2312"/>
                <w:szCs w:val="21"/>
              </w:rPr>
              <w:t>2.整改清零国务院安委会来川考核巡查发现的16个具体问题情况。</w:t>
            </w:r>
          </w:p>
          <w:p>
            <w:pPr>
              <w:autoSpaceDN w:val="0"/>
              <w:spacing w:line="260" w:lineRule="exact"/>
              <w:jc w:val="left"/>
              <w:rPr>
                <w:rFonts w:eastAsia="仿宋_GB2312"/>
                <w:szCs w:val="21"/>
              </w:rPr>
            </w:pPr>
            <w:r>
              <w:rPr>
                <w:rFonts w:eastAsia="仿宋_GB2312"/>
                <w:szCs w:val="21"/>
              </w:rPr>
              <w:t>3.</w:t>
            </w:r>
            <w:r>
              <w:rPr>
                <w:rFonts w:hint="eastAsia" w:eastAsia="仿宋_GB2312"/>
                <w:szCs w:val="21"/>
              </w:rPr>
              <w:t>按照《遂宁市安全生产大检查工作方案》要求，围绕危险化学品、消防、道路交通、城镇燃气等26个行业领域，开展现阶段问题隐患整改提升行动，推动企业自查、属地综合检查、异地交叉检查以及省、市督查发现的问题隐患按照“五落实”要求整改销号情况。</w:t>
            </w:r>
          </w:p>
          <w:p>
            <w:pPr>
              <w:autoSpaceDN w:val="0"/>
              <w:spacing w:line="260" w:lineRule="exact"/>
              <w:jc w:val="left"/>
              <w:rPr>
                <w:rFonts w:eastAsia="仿宋_GB2312"/>
                <w:szCs w:val="21"/>
              </w:rPr>
            </w:pPr>
            <w:r>
              <w:rPr>
                <w:rFonts w:hint="eastAsia" w:eastAsia="仿宋_GB2312"/>
                <w:szCs w:val="21"/>
              </w:rPr>
              <w:t>4.各地各有关部门和企业日常检查排查发现问题隐患实行动态清零情况。</w:t>
            </w:r>
          </w:p>
        </w:tc>
        <w:tc>
          <w:tcPr>
            <w:tcW w:w="3181" w:type="dxa"/>
            <w:noWrap w:val="0"/>
            <w:vAlign w:val="center"/>
          </w:tcPr>
          <w:p>
            <w:pPr>
              <w:autoSpaceDN w:val="0"/>
              <w:spacing w:line="260" w:lineRule="exact"/>
              <w:jc w:val="left"/>
              <w:rPr>
                <w:rFonts w:eastAsia="仿宋_GB2312"/>
                <w:szCs w:val="21"/>
              </w:rPr>
            </w:pPr>
          </w:p>
        </w:tc>
        <w:tc>
          <w:tcPr>
            <w:tcW w:w="897" w:type="dxa"/>
            <w:noWrap w:val="0"/>
            <w:vAlign w:val="center"/>
          </w:tcPr>
          <w:p>
            <w:pPr>
              <w:autoSpaceDN w:val="0"/>
              <w:spacing w:line="26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901" w:type="dxa"/>
            <w:noWrap w:val="0"/>
            <w:vAlign w:val="center"/>
          </w:tcPr>
          <w:p>
            <w:pPr>
              <w:autoSpaceDN w:val="0"/>
              <w:spacing w:line="260" w:lineRule="exact"/>
              <w:jc w:val="center"/>
              <w:rPr>
                <w:rFonts w:eastAsia="仿宋_GB2312"/>
                <w:szCs w:val="21"/>
              </w:rPr>
            </w:pPr>
            <w:r>
              <w:rPr>
                <w:rFonts w:hint="eastAsia" w:eastAsia="仿宋_GB2312"/>
                <w:szCs w:val="21"/>
              </w:rPr>
              <w:t>信访举报投诉</w:t>
            </w:r>
          </w:p>
          <w:p>
            <w:pPr>
              <w:autoSpaceDN w:val="0"/>
              <w:spacing w:line="260" w:lineRule="exact"/>
              <w:jc w:val="center"/>
              <w:rPr>
                <w:rFonts w:eastAsia="仿宋_GB2312"/>
                <w:szCs w:val="21"/>
              </w:rPr>
            </w:pPr>
            <w:r>
              <w:rPr>
                <w:rFonts w:hint="eastAsia" w:eastAsia="仿宋_GB2312"/>
                <w:szCs w:val="21"/>
              </w:rPr>
              <w:t>清零行动</w:t>
            </w:r>
          </w:p>
        </w:tc>
        <w:tc>
          <w:tcPr>
            <w:tcW w:w="7671" w:type="dxa"/>
            <w:noWrap w:val="0"/>
            <w:vAlign w:val="center"/>
          </w:tcPr>
          <w:p>
            <w:pPr>
              <w:autoSpaceDN w:val="0"/>
              <w:spacing w:line="260" w:lineRule="exact"/>
              <w:jc w:val="left"/>
              <w:rPr>
                <w:rFonts w:eastAsia="仿宋_GB2312"/>
                <w:szCs w:val="21"/>
              </w:rPr>
            </w:pPr>
            <w:r>
              <w:rPr>
                <w:rFonts w:hint="eastAsia" w:eastAsia="仿宋_GB2312"/>
                <w:szCs w:val="21"/>
              </w:rPr>
              <w:t>1.各地对照前期梳理下发的群众举报投诉安全生产489条问题隐患，分级分类建立问题隐患台账和责任清单，全面核查处置，逐一制定方案，确保全面彻底整改情况。</w:t>
            </w:r>
          </w:p>
          <w:p>
            <w:pPr>
              <w:autoSpaceDN w:val="0"/>
              <w:spacing w:line="260" w:lineRule="exact"/>
              <w:jc w:val="left"/>
              <w:rPr>
                <w:rFonts w:eastAsia="仿宋_GB2312"/>
                <w:szCs w:val="21"/>
              </w:rPr>
            </w:pPr>
            <w:r>
              <w:rPr>
                <w:rFonts w:eastAsia="仿宋_GB2312"/>
                <w:szCs w:val="21"/>
              </w:rPr>
              <w:t>2.</w:t>
            </w:r>
            <w:r>
              <w:rPr>
                <w:rFonts w:hint="eastAsia" w:eastAsia="仿宋_GB2312"/>
                <w:szCs w:val="21"/>
              </w:rPr>
              <w:t>认真开展“回头看”，对已办结的要落实专人进行复核复查，符合举报奖励条件的，依照相关规定兑现奖励情况。</w:t>
            </w:r>
          </w:p>
        </w:tc>
        <w:tc>
          <w:tcPr>
            <w:tcW w:w="3181" w:type="dxa"/>
            <w:noWrap w:val="0"/>
            <w:vAlign w:val="center"/>
          </w:tcPr>
          <w:p>
            <w:pPr>
              <w:autoSpaceDN w:val="0"/>
              <w:spacing w:line="260" w:lineRule="exact"/>
              <w:jc w:val="left"/>
              <w:rPr>
                <w:rFonts w:eastAsia="仿宋_GB2312"/>
                <w:szCs w:val="21"/>
              </w:rPr>
            </w:pPr>
          </w:p>
        </w:tc>
        <w:tc>
          <w:tcPr>
            <w:tcW w:w="897" w:type="dxa"/>
            <w:noWrap w:val="0"/>
            <w:vAlign w:val="center"/>
          </w:tcPr>
          <w:p>
            <w:pPr>
              <w:autoSpaceDN w:val="0"/>
              <w:spacing w:line="26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901" w:type="dxa"/>
            <w:noWrap w:val="0"/>
            <w:vAlign w:val="center"/>
          </w:tcPr>
          <w:p>
            <w:pPr>
              <w:autoSpaceDN w:val="0"/>
              <w:spacing w:line="260" w:lineRule="exact"/>
              <w:jc w:val="center"/>
              <w:rPr>
                <w:rFonts w:eastAsia="仿宋_GB2312"/>
                <w:szCs w:val="21"/>
              </w:rPr>
            </w:pPr>
            <w:r>
              <w:rPr>
                <w:rFonts w:hint="eastAsia" w:eastAsia="仿宋_GB2312"/>
                <w:szCs w:val="21"/>
              </w:rPr>
              <w:t>《遂宁市贯彻落实国务院安委会安全生产十五条措施的实施方案》落实情况</w:t>
            </w:r>
          </w:p>
        </w:tc>
        <w:tc>
          <w:tcPr>
            <w:tcW w:w="7671" w:type="dxa"/>
            <w:noWrap w:val="0"/>
            <w:vAlign w:val="center"/>
          </w:tcPr>
          <w:p>
            <w:pPr>
              <w:autoSpaceDN w:val="0"/>
              <w:spacing w:line="260" w:lineRule="exact"/>
              <w:jc w:val="left"/>
              <w:rPr>
                <w:rFonts w:eastAsia="仿宋_GB2312"/>
                <w:szCs w:val="21"/>
              </w:rPr>
            </w:pPr>
            <w:r>
              <w:rPr>
                <w:rFonts w:hint="eastAsia" w:eastAsia="仿宋_GB2312"/>
                <w:szCs w:val="21"/>
              </w:rPr>
              <w:t>1.各地各有关部门结合本地本行业领域实际细化制定实施方案情况。</w:t>
            </w:r>
          </w:p>
          <w:p>
            <w:pPr>
              <w:autoSpaceDN w:val="0"/>
              <w:spacing w:line="260" w:lineRule="exact"/>
              <w:jc w:val="left"/>
              <w:rPr>
                <w:rFonts w:eastAsia="仿宋_GB2312"/>
                <w:szCs w:val="21"/>
              </w:rPr>
            </w:pPr>
            <w:r>
              <w:rPr>
                <w:rFonts w:eastAsia="仿宋_GB2312"/>
                <w:szCs w:val="21"/>
              </w:rPr>
              <w:t>2.</w:t>
            </w:r>
            <w:r>
              <w:rPr>
                <w:rFonts w:hint="eastAsia" w:eastAsia="仿宋_GB2312"/>
                <w:szCs w:val="21"/>
              </w:rPr>
              <w:t>严格对照《遂宁市贯彻落实国务院安委会安全生产十五条措施的实施方案》中15条硬措施、50条具体举措和82个重点任务，逐项对照任务和责任清单抓好工作落实情况。</w:t>
            </w:r>
          </w:p>
        </w:tc>
        <w:tc>
          <w:tcPr>
            <w:tcW w:w="3181" w:type="dxa"/>
            <w:noWrap w:val="0"/>
            <w:vAlign w:val="center"/>
          </w:tcPr>
          <w:p>
            <w:pPr>
              <w:autoSpaceDN w:val="0"/>
              <w:spacing w:line="260" w:lineRule="exact"/>
              <w:jc w:val="left"/>
              <w:rPr>
                <w:rFonts w:eastAsia="仿宋_GB2312"/>
                <w:szCs w:val="21"/>
              </w:rPr>
            </w:pPr>
          </w:p>
        </w:tc>
        <w:tc>
          <w:tcPr>
            <w:tcW w:w="897" w:type="dxa"/>
            <w:noWrap w:val="0"/>
            <w:vAlign w:val="center"/>
          </w:tcPr>
          <w:p>
            <w:pPr>
              <w:autoSpaceDN w:val="0"/>
              <w:spacing w:line="26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901" w:type="dxa"/>
            <w:noWrap w:val="0"/>
            <w:vAlign w:val="center"/>
          </w:tcPr>
          <w:p>
            <w:pPr>
              <w:autoSpaceDN w:val="0"/>
              <w:spacing w:line="260" w:lineRule="exact"/>
              <w:jc w:val="center"/>
              <w:rPr>
                <w:rFonts w:eastAsia="仿宋_GB2312"/>
                <w:szCs w:val="21"/>
              </w:rPr>
            </w:pPr>
            <w:r>
              <w:rPr>
                <w:rFonts w:hint="eastAsia" w:eastAsia="仿宋_GB2312"/>
                <w:szCs w:val="21"/>
              </w:rPr>
              <w:t>安全生产专项整治三年行动巩固提升情况</w:t>
            </w:r>
          </w:p>
        </w:tc>
        <w:tc>
          <w:tcPr>
            <w:tcW w:w="7671" w:type="dxa"/>
            <w:noWrap w:val="0"/>
            <w:vAlign w:val="center"/>
          </w:tcPr>
          <w:p>
            <w:pPr>
              <w:autoSpaceDN w:val="0"/>
              <w:spacing w:line="260" w:lineRule="exact"/>
              <w:jc w:val="left"/>
              <w:rPr>
                <w:rFonts w:eastAsia="仿宋_GB2312"/>
                <w:szCs w:val="21"/>
              </w:rPr>
            </w:pPr>
            <w:r>
              <w:rPr>
                <w:rFonts w:hint="eastAsia" w:eastAsia="仿宋_GB2312"/>
                <w:szCs w:val="21"/>
              </w:rPr>
              <w:t>各地各有关部门按照《遂宁市人民政府安全生产委员会关于印发</w:t>
            </w:r>
            <w:r>
              <w:rPr>
                <w:rFonts w:eastAsia="仿宋_GB2312"/>
                <w:szCs w:val="21"/>
              </w:rPr>
              <w:t>&lt;</w:t>
            </w:r>
            <w:r>
              <w:rPr>
                <w:rFonts w:hint="eastAsia" w:eastAsia="仿宋_GB2312"/>
                <w:szCs w:val="21"/>
              </w:rPr>
              <w:t>遂宁市安全生产专项整治三年行动“巩固提升年”实施方案</w:t>
            </w:r>
            <w:r>
              <w:rPr>
                <w:rFonts w:eastAsia="仿宋_GB2312"/>
                <w:szCs w:val="21"/>
              </w:rPr>
              <w:t>&gt;</w:t>
            </w:r>
            <w:r>
              <w:rPr>
                <w:rFonts w:hint="eastAsia" w:eastAsia="仿宋_GB2312"/>
                <w:szCs w:val="21"/>
              </w:rPr>
              <w:t>的通知》（遂安委〔</w:t>
            </w:r>
            <w:r>
              <w:rPr>
                <w:rFonts w:eastAsia="仿宋_GB2312"/>
                <w:szCs w:val="21"/>
              </w:rPr>
              <w:t>2022</w:t>
            </w:r>
            <w:r>
              <w:rPr>
                <w:rFonts w:hint="eastAsia" w:eastAsia="仿宋_GB2312"/>
                <w:szCs w:val="21"/>
              </w:rPr>
              <w:t>〕9号）要求，持续巩固2个专题与11个专项整治成果，查漏补缺，提质增效。实时动态更新问题隐患清单和制度措施清单，推动“老大难”问题解决，形成一批制度成果情况。</w:t>
            </w:r>
          </w:p>
        </w:tc>
        <w:tc>
          <w:tcPr>
            <w:tcW w:w="3181" w:type="dxa"/>
            <w:noWrap w:val="0"/>
            <w:vAlign w:val="center"/>
          </w:tcPr>
          <w:p>
            <w:pPr>
              <w:autoSpaceDN w:val="0"/>
              <w:spacing w:line="260" w:lineRule="exact"/>
              <w:jc w:val="left"/>
              <w:rPr>
                <w:rFonts w:eastAsia="仿宋_GB2312"/>
                <w:szCs w:val="21"/>
              </w:rPr>
            </w:pPr>
          </w:p>
        </w:tc>
        <w:tc>
          <w:tcPr>
            <w:tcW w:w="897" w:type="dxa"/>
            <w:noWrap w:val="0"/>
            <w:vAlign w:val="center"/>
          </w:tcPr>
          <w:p>
            <w:pPr>
              <w:autoSpaceDN w:val="0"/>
              <w:spacing w:line="26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1901" w:type="dxa"/>
            <w:noWrap w:val="0"/>
            <w:vAlign w:val="center"/>
          </w:tcPr>
          <w:p>
            <w:pPr>
              <w:autoSpaceDN w:val="0"/>
              <w:spacing w:line="260" w:lineRule="exact"/>
              <w:jc w:val="center"/>
              <w:rPr>
                <w:rFonts w:eastAsia="仿宋_GB2312"/>
                <w:szCs w:val="21"/>
              </w:rPr>
            </w:pPr>
            <w:r>
              <w:rPr>
                <w:rFonts w:hint="eastAsia" w:eastAsia="仿宋_GB2312"/>
                <w:szCs w:val="21"/>
              </w:rPr>
              <w:t>推进危险化学品和城镇燃气“两个集中治理”</w:t>
            </w:r>
          </w:p>
        </w:tc>
        <w:tc>
          <w:tcPr>
            <w:tcW w:w="7671" w:type="dxa"/>
            <w:noWrap w:val="0"/>
            <w:vAlign w:val="center"/>
          </w:tcPr>
          <w:p>
            <w:pPr>
              <w:autoSpaceDN w:val="0"/>
              <w:spacing w:line="260" w:lineRule="exact"/>
              <w:jc w:val="left"/>
              <w:rPr>
                <w:rFonts w:eastAsia="仿宋_GB2312"/>
                <w:szCs w:val="21"/>
              </w:rPr>
            </w:pPr>
            <w:r>
              <w:rPr>
                <w:rFonts w:hint="eastAsia" w:eastAsia="仿宋_GB2312"/>
                <w:szCs w:val="21"/>
              </w:rPr>
              <w:t>1.各地各有关部门按照《遂宁市危险化学品安全风险集中治理工作方案》要求，抓好化工园区安全整治提升、油气长输管道专项治理、老旧装置安全风险防控、危险化学品企业双重预防机制数字化建设、危险化学品企业工伤预防能力提升培训工程等重点任务的落地见效工作情况。</w:t>
            </w:r>
          </w:p>
          <w:p>
            <w:pPr>
              <w:autoSpaceDN w:val="0"/>
              <w:spacing w:line="260" w:lineRule="exact"/>
              <w:jc w:val="left"/>
              <w:rPr>
                <w:szCs w:val="24"/>
              </w:rPr>
            </w:pPr>
            <w:r>
              <w:rPr>
                <w:rFonts w:hint="eastAsia" w:eastAsia="仿宋_GB2312"/>
                <w:szCs w:val="21"/>
              </w:rPr>
              <w:t>2.各地各有关部门按照《遂宁市城镇燃气安全排查整治工作实施方案》《城镇燃气专项整治“百日行动”实施方案》要求，纵深排险除患，强力整治攻坚，坚决打非治违，确保整治成效情况。</w:t>
            </w:r>
          </w:p>
        </w:tc>
        <w:tc>
          <w:tcPr>
            <w:tcW w:w="3181" w:type="dxa"/>
            <w:noWrap w:val="0"/>
            <w:vAlign w:val="center"/>
          </w:tcPr>
          <w:p>
            <w:pPr>
              <w:autoSpaceDN w:val="0"/>
              <w:spacing w:line="260" w:lineRule="exact"/>
              <w:jc w:val="left"/>
              <w:rPr>
                <w:rFonts w:eastAsia="仿宋_GB2312"/>
                <w:szCs w:val="21"/>
              </w:rPr>
            </w:pPr>
          </w:p>
        </w:tc>
        <w:tc>
          <w:tcPr>
            <w:tcW w:w="897" w:type="dxa"/>
            <w:noWrap w:val="0"/>
            <w:vAlign w:val="center"/>
          </w:tcPr>
          <w:p>
            <w:pPr>
              <w:autoSpaceDN w:val="0"/>
              <w:spacing w:line="26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1" w:type="dxa"/>
            <w:noWrap w:val="0"/>
            <w:vAlign w:val="center"/>
          </w:tcPr>
          <w:p>
            <w:pPr>
              <w:autoSpaceDN w:val="0"/>
              <w:spacing w:line="320" w:lineRule="exact"/>
              <w:jc w:val="center"/>
              <w:rPr>
                <w:rFonts w:eastAsia="仿宋_GB2312"/>
                <w:szCs w:val="21"/>
              </w:rPr>
            </w:pPr>
            <w:r>
              <w:rPr>
                <w:rFonts w:hint="eastAsia" w:eastAsia="仿宋_GB2312"/>
                <w:szCs w:val="21"/>
              </w:rPr>
              <w:t>加压推动自建房安全专项整治</w:t>
            </w:r>
          </w:p>
        </w:tc>
        <w:tc>
          <w:tcPr>
            <w:tcW w:w="7671" w:type="dxa"/>
            <w:noWrap w:val="0"/>
            <w:vAlign w:val="center"/>
          </w:tcPr>
          <w:p>
            <w:pPr>
              <w:autoSpaceDN w:val="0"/>
              <w:spacing w:line="320" w:lineRule="exact"/>
              <w:jc w:val="left"/>
              <w:rPr>
                <w:rFonts w:eastAsia="仿宋_GB2312"/>
                <w:szCs w:val="21"/>
              </w:rPr>
            </w:pPr>
            <w:r>
              <w:rPr>
                <w:rFonts w:hint="eastAsia" w:eastAsia="仿宋_GB2312"/>
                <w:szCs w:val="21"/>
              </w:rPr>
              <w:t>各地各有关部门按照《遂宁市自建房安全专项整治实施方案》要求，集中力量摸排经营性自建房、改建改用房屋建筑、人员密集场所重点用房，扎实开展“百日行动”集中攻坚，确保10月底前，3层以上、人员密集、违规改扩建等经营性自建房全面排查到位、分类处置到位、日常监管到位，严控风险，严防事故情况。</w:t>
            </w:r>
          </w:p>
        </w:tc>
        <w:tc>
          <w:tcPr>
            <w:tcW w:w="3181" w:type="dxa"/>
            <w:noWrap w:val="0"/>
            <w:vAlign w:val="center"/>
          </w:tcPr>
          <w:p>
            <w:pPr>
              <w:autoSpaceDN w:val="0"/>
              <w:spacing w:line="320" w:lineRule="exact"/>
              <w:jc w:val="left"/>
              <w:rPr>
                <w:rFonts w:eastAsia="仿宋_GB2312"/>
                <w:szCs w:val="21"/>
              </w:rPr>
            </w:pPr>
          </w:p>
        </w:tc>
        <w:tc>
          <w:tcPr>
            <w:tcW w:w="897" w:type="dxa"/>
            <w:noWrap w:val="0"/>
            <w:vAlign w:val="center"/>
          </w:tcPr>
          <w:p>
            <w:pPr>
              <w:autoSpaceDN w:val="0"/>
              <w:spacing w:line="32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1" w:type="dxa"/>
            <w:noWrap w:val="0"/>
            <w:vAlign w:val="center"/>
          </w:tcPr>
          <w:p>
            <w:pPr>
              <w:autoSpaceDN w:val="0"/>
              <w:spacing w:line="320" w:lineRule="exact"/>
              <w:jc w:val="center"/>
              <w:rPr>
                <w:rFonts w:eastAsia="仿宋_GB2312"/>
                <w:szCs w:val="21"/>
              </w:rPr>
            </w:pPr>
            <w:r>
              <w:rPr>
                <w:rFonts w:hint="eastAsia" w:eastAsia="仿宋_GB2312"/>
                <w:szCs w:val="21"/>
              </w:rPr>
              <w:t>工贸行业安全生产专项整治“百日清零行动”</w:t>
            </w:r>
          </w:p>
        </w:tc>
        <w:tc>
          <w:tcPr>
            <w:tcW w:w="7671" w:type="dxa"/>
            <w:noWrap w:val="0"/>
            <w:vAlign w:val="center"/>
          </w:tcPr>
          <w:p>
            <w:pPr>
              <w:autoSpaceDN w:val="0"/>
              <w:spacing w:line="320" w:lineRule="exact"/>
              <w:jc w:val="left"/>
              <w:rPr>
                <w:rFonts w:eastAsia="仿宋_GB2312"/>
                <w:szCs w:val="21"/>
              </w:rPr>
            </w:pPr>
            <w:r>
              <w:rPr>
                <w:rFonts w:hint="eastAsia" w:eastAsia="仿宋_GB2312"/>
                <w:szCs w:val="21"/>
              </w:rPr>
              <w:t>各地各有关部门坚持企业自查与部门核查相结合、全面检查与严格执法相结合，重点对钢铁、铝加工（深井铸造）和粉尘涉爆企业开展集中排查整治，严格指导企业按照21项执法检查重点事项自查自改。对发现的隐患问题在9月10日前全部按时清零。</w:t>
            </w:r>
          </w:p>
        </w:tc>
        <w:tc>
          <w:tcPr>
            <w:tcW w:w="3181" w:type="dxa"/>
            <w:noWrap w:val="0"/>
            <w:vAlign w:val="center"/>
          </w:tcPr>
          <w:p>
            <w:pPr>
              <w:autoSpaceDN w:val="0"/>
              <w:spacing w:line="320" w:lineRule="exact"/>
              <w:jc w:val="left"/>
              <w:rPr>
                <w:rFonts w:eastAsia="仿宋_GB2312"/>
                <w:szCs w:val="21"/>
              </w:rPr>
            </w:pPr>
          </w:p>
        </w:tc>
        <w:tc>
          <w:tcPr>
            <w:tcW w:w="897" w:type="dxa"/>
            <w:noWrap w:val="0"/>
            <w:vAlign w:val="center"/>
          </w:tcPr>
          <w:p>
            <w:pPr>
              <w:autoSpaceDN w:val="0"/>
              <w:spacing w:line="32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1" w:type="dxa"/>
            <w:noWrap w:val="0"/>
            <w:vAlign w:val="center"/>
          </w:tcPr>
          <w:p>
            <w:pPr>
              <w:autoSpaceDN w:val="0"/>
              <w:spacing w:line="320" w:lineRule="exact"/>
              <w:jc w:val="center"/>
              <w:rPr>
                <w:rFonts w:eastAsia="仿宋_GB2312"/>
                <w:szCs w:val="21"/>
              </w:rPr>
            </w:pPr>
            <w:r>
              <w:rPr>
                <w:rFonts w:hint="eastAsia" w:eastAsia="仿宋_GB2312"/>
                <w:szCs w:val="21"/>
              </w:rPr>
              <w:t>推动安全生产清单制管理提档升级</w:t>
            </w:r>
          </w:p>
        </w:tc>
        <w:tc>
          <w:tcPr>
            <w:tcW w:w="7671" w:type="dxa"/>
            <w:noWrap w:val="0"/>
            <w:vAlign w:val="center"/>
          </w:tcPr>
          <w:p>
            <w:pPr>
              <w:autoSpaceDN w:val="0"/>
              <w:spacing w:line="320" w:lineRule="exact"/>
              <w:jc w:val="left"/>
              <w:rPr>
                <w:rFonts w:eastAsia="仿宋_GB2312"/>
                <w:szCs w:val="21"/>
              </w:rPr>
            </w:pPr>
            <w:r>
              <w:rPr>
                <w:rFonts w:eastAsia="仿宋_GB2312"/>
                <w:szCs w:val="21"/>
              </w:rPr>
              <w:t>1.</w:t>
            </w:r>
            <w:r>
              <w:rPr>
                <w:rFonts w:hint="eastAsia" w:eastAsia="仿宋_GB2312"/>
                <w:szCs w:val="21"/>
              </w:rPr>
              <w:t>各地各有关部门积极推进清单制2.0版，落实“行业共性+企业个性”要求，年底前确保各行业领域企业全部完成清单制2.0版编制并使用情况。</w:t>
            </w:r>
          </w:p>
          <w:p>
            <w:pPr>
              <w:autoSpaceDN w:val="0"/>
              <w:spacing w:line="320" w:lineRule="exact"/>
              <w:jc w:val="left"/>
              <w:rPr>
                <w:rFonts w:eastAsia="仿宋_GB2312"/>
                <w:szCs w:val="21"/>
              </w:rPr>
            </w:pPr>
            <w:r>
              <w:rPr>
                <w:rFonts w:eastAsia="仿宋_GB2312"/>
                <w:szCs w:val="21"/>
              </w:rPr>
              <w:t>2.</w:t>
            </w:r>
            <w:r>
              <w:rPr>
                <w:rFonts w:hint="eastAsia" w:eastAsia="仿宋_GB2312"/>
                <w:szCs w:val="21"/>
              </w:rPr>
              <w:t>各地推动企业清单制信息化平台建设，用信息化水平提升清单制实施质效情况。</w:t>
            </w:r>
          </w:p>
        </w:tc>
        <w:tc>
          <w:tcPr>
            <w:tcW w:w="3181" w:type="dxa"/>
            <w:noWrap w:val="0"/>
            <w:vAlign w:val="center"/>
          </w:tcPr>
          <w:p>
            <w:pPr>
              <w:autoSpaceDN w:val="0"/>
              <w:spacing w:line="320" w:lineRule="exact"/>
              <w:jc w:val="left"/>
              <w:rPr>
                <w:rFonts w:eastAsia="仿宋_GB2312"/>
                <w:szCs w:val="21"/>
              </w:rPr>
            </w:pPr>
          </w:p>
        </w:tc>
        <w:tc>
          <w:tcPr>
            <w:tcW w:w="897" w:type="dxa"/>
            <w:noWrap w:val="0"/>
            <w:vAlign w:val="center"/>
          </w:tcPr>
          <w:p>
            <w:pPr>
              <w:autoSpaceDN w:val="0"/>
              <w:spacing w:line="32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1" w:type="dxa"/>
            <w:noWrap w:val="0"/>
            <w:vAlign w:val="center"/>
          </w:tcPr>
          <w:p>
            <w:pPr>
              <w:autoSpaceDN w:val="0"/>
              <w:spacing w:line="320" w:lineRule="exact"/>
              <w:jc w:val="center"/>
              <w:rPr>
                <w:rFonts w:eastAsia="仿宋_GB2312"/>
                <w:szCs w:val="21"/>
              </w:rPr>
            </w:pPr>
            <w:r>
              <w:rPr>
                <w:rFonts w:hint="eastAsia" w:eastAsia="仿宋_GB2312"/>
                <w:szCs w:val="21"/>
              </w:rPr>
              <w:t>做好高温期安全防范工作</w:t>
            </w:r>
          </w:p>
        </w:tc>
        <w:tc>
          <w:tcPr>
            <w:tcW w:w="7671" w:type="dxa"/>
            <w:noWrap w:val="0"/>
            <w:vAlign w:val="center"/>
          </w:tcPr>
          <w:p>
            <w:pPr>
              <w:autoSpaceDN w:val="0"/>
              <w:spacing w:line="320" w:lineRule="exact"/>
              <w:jc w:val="left"/>
              <w:rPr>
                <w:rFonts w:eastAsia="仿宋_GB2312"/>
                <w:szCs w:val="21"/>
              </w:rPr>
            </w:pPr>
            <w:r>
              <w:rPr>
                <w:rFonts w:hint="eastAsia" w:eastAsia="仿宋_GB2312"/>
                <w:szCs w:val="21"/>
              </w:rPr>
              <w:t>各地各有关部门按照市安委会《关于认真做好高温期安全防范工作的通知》要求，做好高温期消防、危险化学品、工贸、建筑施工等重点领域以及有限空间作业、粉尘防爆、人员防溺水等重点环节的隐患排查治理，落实落细各项安全防范措施情况。</w:t>
            </w:r>
          </w:p>
        </w:tc>
        <w:tc>
          <w:tcPr>
            <w:tcW w:w="3181" w:type="dxa"/>
            <w:noWrap w:val="0"/>
            <w:vAlign w:val="center"/>
          </w:tcPr>
          <w:p>
            <w:pPr>
              <w:autoSpaceDN w:val="0"/>
              <w:spacing w:line="320" w:lineRule="exact"/>
              <w:jc w:val="left"/>
              <w:rPr>
                <w:rFonts w:eastAsia="仿宋_GB2312"/>
                <w:szCs w:val="21"/>
              </w:rPr>
            </w:pPr>
          </w:p>
        </w:tc>
        <w:tc>
          <w:tcPr>
            <w:tcW w:w="897" w:type="dxa"/>
            <w:noWrap w:val="0"/>
            <w:vAlign w:val="center"/>
          </w:tcPr>
          <w:p>
            <w:pPr>
              <w:autoSpaceDN w:val="0"/>
              <w:spacing w:line="32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1" w:type="dxa"/>
            <w:noWrap w:val="0"/>
            <w:vAlign w:val="center"/>
          </w:tcPr>
          <w:p>
            <w:pPr>
              <w:autoSpaceDN w:val="0"/>
              <w:spacing w:line="320" w:lineRule="exact"/>
              <w:jc w:val="center"/>
              <w:rPr>
                <w:rFonts w:eastAsia="仿宋_GB2312"/>
                <w:szCs w:val="21"/>
              </w:rPr>
            </w:pPr>
            <w:r>
              <w:rPr>
                <w:rFonts w:hint="eastAsia" w:eastAsia="仿宋_GB2312"/>
                <w:szCs w:val="21"/>
              </w:rPr>
              <w:t>开展涉水专项整治</w:t>
            </w:r>
          </w:p>
        </w:tc>
        <w:tc>
          <w:tcPr>
            <w:tcW w:w="7671" w:type="dxa"/>
            <w:noWrap w:val="0"/>
            <w:vAlign w:val="center"/>
          </w:tcPr>
          <w:p>
            <w:pPr>
              <w:autoSpaceDN w:val="0"/>
              <w:spacing w:line="320" w:lineRule="exact"/>
              <w:jc w:val="left"/>
              <w:rPr>
                <w:rFonts w:eastAsia="仿宋_GB2312"/>
                <w:szCs w:val="21"/>
              </w:rPr>
            </w:pPr>
            <w:r>
              <w:rPr>
                <w:rFonts w:eastAsia="仿宋_GB2312"/>
                <w:szCs w:val="21"/>
              </w:rPr>
              <w:t>1.</w:t>
            </w:r>
            <w:r>
              <w:rPr>
                <w:rFonts w:hint="eastAsia" w:eastAsia="仿宋_GB2312"/>
                <w:szCs w:val="21"/>
              </w:rPr>
              <w:t>各地各有关部门按照市安办《关于深刻汲取事故教训切实开展涉水安全专项行动的紧急通知》要求，加强池塘、水库、沟渠、河流等重点领域、危险区域以及涉水作业区域、游乐场所的安全监管和隐患排查治理情况。</w:t>
            </w:r>
          </w:p>
          <w:p>
            <w:pPr>
              <w:autoSpaceDN w:val="0"/>
              <w:spacing w:line="320" w:lineRule="exact"/>
              <w:jc w:val="left"/>
              <w:rPr>
                <w:rFonts w:eastAsia="仿宋_GB2312"/>
                <w:szCs w:val="21"/>
              </w:rPr>
            </w:pPr>
            <w:r>
              <w:rPr>
                <w:rFonts w:eastAsia="仿宋_GB2312"/>
                <w:szCs w:val="21"/>
              </w:rPr>
              <w:t>2.</w:t>
            </w:r>
            <w:r>
              <w:rPr>
                <w:rFonts w:hint="eastAsia" w:eastAsia="仿宋_GB2312"/>
                <w:szCs w:val="21"/>
              </w:rPr>
              <w:t>各地在危险区域设置安全警示标牌、落实定期日常巡查等防范措施情况。</w:t>
            </w:r>
          </w:p>
          <w:p>
            <w:pPr>
              <w:autoSpaceDN w:val="0"/>
              <w:spacing w:line="320" w:lineRule="exact"/>
              <w:jc w:val="left"/>
              <w:rPr>
                <w:rFonts w:eastAsia="仿宋_GB2312"/>
                <w:szCs w:val="21"/>
              </w:rPr>
            </w:pPr>
            <w:r>
              <w:rPr>
                <w:rFonts w:eastAsia="仿宋_GB2312"/>
                <w:szCs w:val="21"/>
              </w:rPr>
              <w:t>3.</w:t>
            </w:r>
            <w:r>
              <w:rPr>
                <w:rFonts w:hint="eastAsia" w:eastAsia="仿宋_GB2312"/>
                <w:szCs w:val="21"/>
              </w:rPr>
              <w:t>各地各有关部门认真组织开展汛期船舶、建设工程以及作业水域的安全风险隐患排查管控，加强涉水作业、野外施工作业人员安全管理，全面消除安全隐患情况。</w:t>
            </w:r>
          </w:p>
        </w:tc>
        <w:tc>
          <w:tcPr>
            <w:tcW w:w="3181" w:type="dxa"/>
            <w:noWrap w:val="0"/>
            <w:vAlign w:val="center"/>
          </w:tcPr>
          <w:p>
            <w:pPr>
              <w:autoSpaceDN w:val="0"/>
              <w:spacing w:line="320" w:lineRule="exact"/>
              <w:jc w:val="left"/>
              <w:rPr>
                <w:rFonts w:eastAsia="仿宋_GB2312"/>
                <w:szCs w:val="21"/>
              </w:rPr>
            </w:pPr>
          </w:p>
        </w:tc>
        <w:tc>
          <w:tcPr>
            <w:tcW w:w="897" w:type="dxa"/>
            <w:noWrap w:val="0"/>
            <w:vAlign w:val="center"/>
          </w:tcPr>
          <w:p>
            <w:pPr>
              <w:autoSpaceDN w:val="0"/>
              <w:spacing w:line="32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1" w:type="dxa"/>
            <w:noWrap w:val="0"/>
            <w:vAlign w:val="center"/>
          </w:tcPr>
          <w:p>
            <w:pPr>
              <w:autoSpaceDN w:val="0"/>
              <w:spacing w:line="320" w:lineRule="exact"/>
              <w:jc w:val="center"/>
              <w:rPr>
                <w:rFonts w:eastAsia="仿宋_GB2312"/>
                <w:szCs w:val="21"/>
              </w:rPr>
            </w:pPr>
            <w:r>
              <w:rPr>
                <w:rFonts w:hint="eastAsia" w:eastAsia="仿宋_GB2312"/>
                <w:szCs w:val="21"/>
              </w:rPr>
              <w:t>加大游乐场所安全监管力度</w:t>
            </w:r>
          </w:p>
        </w:tc>
        <w:tc>
          <w:tcPr>
            <w:tcW w:w="7671" w:type="dxa"/>
            <w:noWrap w:val="0"/>
            <w:vAlign w:val="center"/>
          </w:tcPr>
          <w:p>
            <w:pPr>
              <w:autoSpaceDN w:val="0"/>
              <w:spacing w:line="320" w:lineRule="exact"/>
              <w:jc w:val="left"/>
              <w:rPr>
                <w:rFonts w:eastAsia="仿宋_GB2312"/>
                <w:szCs w:val="21"/>
              </w:rPr>
            </w:pPr>
            <w:r>
              <w:rPr>
                <w:rFonts w:eastAsia="仿宋_GB2312"/>
                <w:szCs w:val="21"/>
              </w:rPr>
              <w:t>1.</w:t>
            </w:r>
            <w:r>
              <w:rPr>
                <w:rFonts w:hint="eastAsia" w:eastAsia="仿宋_GB2312"/>
                <w:szCs w:val="21"/>
              </w:rPr>
              <w:t>各地各有关部门按照市安办《切实做好游乐场所安全管理工作的通知》要求，严把游乐场所审批准入关口，杜绝带病运行情况。</w:t>
            </w:r>
          </w:p>
          <w:p>
            <w:pPr>
              <w:autoSpaceDN w:val="0"/>
              <w:spacing w:line="320" w:lineRule="exact"/>
              <w:jc w:val="left"/>
              <w:rPr>
                <w:rFonts w:eastAsia="仿宋_GB2312"/>
                <w:szCs w:val="21"/>
              </w:rPr>
            </w:pPr>
            <w:r>
              <w:rPr>
                <w:rFonts w:eastAsia="仿宋_GB2312"/>
                <w:szCs w:val="21"/>
              </w:rPr>
              <w:t>2.</w:t>
            </w:r>
            <w:r>
              <w:rPr>
                <w:rFonts w:hint="eastAsia" w:eastAsia="仿宋_GB2312"/>
                <w:szCs w:val="21"/>
              </w:rPr>
              <w:t>各地各有关部门常态化组织开展联合执法检查活动，重点检查游乐场所、点位安全生产主体责任落实等情况，对检查发现无营业资质证照、使用三无设备、无安全管理等问题隐患实施零容忍，坚决落实停业整顿措施情况。</w:t>
            </w:r>
          </w:p>
        </w:tc>
        <w:tc>
          <w:tcPr>
            <w:tcW w:w="3181" w:type="dxa"/>
            <w:noWrap w:val="0"/>
            <w:vAlign w:val="center"/>
          </w:tcPr>
          <w:p>
            <w:pPr>
              <w:autoSpaceDN w:val="0"/>
              <w:spacing w:line="320" w:lineRule="exact"/>
              <w:jc w:val="left"/>
              <w:rPr>
                <w:rFonts w:eastAsia="仿宋_GB2312"/>
                <w:szCs w:val="21"/>
              </w:rPr>
            </w:pPr>
          </w:p>
        </w:tc>
        <w:tc>
          <w:tcPr>
            <w:tcW w:w="897" w:type="dxa"/>
            <w:noWrap w:val="0"/>
            <w:vAlign w:val="center"/>
          </w:tcPr>
          <w:p>
            <w:pPr>
              <w:autoSpaceDN w:val="0"/>
              <w:spacing w:line="32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1" w:type="dxa"/>
            <w:noWrap w:val="0"/>
            <w:vAlign w:val="center"/>
          </w:tcPr>
          <w:p>
            <w:pPr>
              <w:autoSpaceDN w:val="0"/>
              <w:spacing w:line="320" w:lineRule="exact"/>
              <w:jc w:val="center"/>
              <w:rPr>
                <w:rFonts w:eastAsia="仿宋_GB2312"/>
                <w:szCs w:val="21"/>
              </w:rPr>
            </w:pPr>
            <w:r>
              <w:rPr>
                <w:rFonts w:hint="eastAsia" w:eastAsia="仿宋_GB2312"/>
                <w:szCs w:val="21"/>
              </w:rPr>
              <w:t>持续推进成品油市场经营秩序专项整治</w:t>
            </w:r>
          </w:p>
        </w:tc>
        <w:tc>
          <w:tcPr>
            <w:tcW w:w="7671" w:type="dxa"/>
            <w:noWrap w:val="0"/>
            <w:vAlign w:val="center"/>
          </w:tcPr>
          <w:p>
            <w:pPr>
              <w:numPr>
                <w:ilvl w:val="0"/>
                <w:numId w:val="0"/>
              </w:numPr>
              <w:autoSpaceDN w:val="0"/>
              <w:spacing w:line="300" w:lineRule="exact"/>
              <w:jc w:val="left"/>
              <w:rPr>
                <w:rFonts w:eastAsia="仿宋_GB2312"/>
                <w:szCs w:val="21"/>
              </w:rPr>
            </w:pPr>
            <w:r>
              <w:rPr>
                <w:rFonts w:hint="eastAsia" w:eastAsia="仿宋_GB2312"/>
                <w:szCs w:val="21"/>
              </w:rPr>
              <w:t>各地集中开展成品油违法经营安全隐患整治联合执法专项行动，全面摸排道路交通领域和在建项目、大型停车场、非煤矿山、集贸市场、砂石厂等相关公共安全区域，发现“黑油站、黑油品、黑油罐、黑油车”等线索，健全完善联合检查、案件协查、警示曝光等机制情况。</w:t>
            </w:r>
          </w:p>
        </w:tc>
        <w:tc>
          <w:tcPr>
            <w:tcW w:w="3181" w:type="dxa"/>
            <w:noWrap w:val="0"/>
            <w:vAlign w:val="center"/>
          </w:tcPr>
          <w:p>
            <w:pPr>
              <w:autoSpaceDN w:val="0"/>
              <w:spacing w:line="320" w:lineRule="exact"/>
              <w:jc w:val="left"/>
              <w:rPr>
                <w:rFonts w:eastAsia="仿宋_GB2312"/>
                <w:szCs w:val="21"/>
              </w:rPr>
            </w:pPr>
          </w:p>
        </w:tc>
        <w:tc>
          <w:tcPr>
            <w:tcW w:w="897" w:type="dxa"/>
            <w:noWrap w:val="0"/>
            <w:vAlign w:val="center"/>
          </w:tcPr>
          <w:p>
            <w:pPr>
              <w:autoSpaceDN w:val="0"/>
              <w:spacing w:line="32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901" w:type="dxa"/>
            <w:noWrap w:val="0"/>
            <w:vAlign w:val="center"/>
          </w:tcPr>
          <w:p>
            <w:pPr>
              <w:autoSpaceDN w:val="0"/>
              <w:spacing w:line="320" w:lineRule="exact"/>
              <w:jc w:val="center"/>
              <w:rPr>
                <w:rFonts w:eastAsia="仿宋_GB2312"/>
                <w:szCs w:val="21"/>
              </w:rPr>
            </w:pPr>
            <w:r>
              <w:rPr>
                <w:rFonts w:hint="eastAsia" w:eastAsia="仿宋_GB2312"/>
                <w:szCs w:val="21"/>
              </w:rPr>
              <w:t>明确新经济新业态安全监管职责</w:t>
            </w:r>
          </w:p>
        </w:tc>
        <w:tc>
          <w:tcPr>
            <w:tcW w:w="7671" w:type="dxa"/>
            <w:noWrap w:val="0"/>
            <w:vAlign w:val="center"/>
          </w:tcPr>
          <w:p>
            <w:pPr>
              <w:autoSpaceDN w:val="0"/>
              <w:spacing w:line="300" w:lineRule="exact"/>
              <w:jc w:val="left"/>
              <w:rPr>
                <w:rFonts w:eastAsia="仿宋_GB2312"/>
                <w:szCs w:val="21"/>
              </w:rPr>
            </w:pPr>
            <w:r>
              <w:rPr>
                <w:rFonts w:hint="eastAsia" w:eastAsia="仿宋_GB2312"/>
                <w:szCs w:val="21"/>
              </w:rPr>
              <w:t>各地按照“党政同责、一岗双责、齐抓共管、失职追责”“管行业必须管安全、管业务必须管安全、管生产经营必须管安全”和“谁建设谁负责、谁主管谁负责、谁审批谁负责、谁靠近谁负责”及属地管理原则，明确游乐场所、剧本娱乐经营场所等涉旅场所、设施，卡丁车、水上漂流等高危运动领域以及夏令营、“三无小区”等行业（领域）安全监管职责，有效填补监管盲区情况。</w:t>
            </w:r>
          </w:p>
        </w:tc>
        <w:tc>
          <w:tcPr>
            <w:tcW w:w="3181" w:type="dxa"/>
            <w:noWrap w:val="0"/>
            <w:vAlign w:val="center"/>
          </w:tcPr>
          <w:p>
            <w:pPr>
              <w:autoSpaceDN w:val="0"/>
              <w:spacing w:line="320" w:lineRule="exact"/>
              <w:jc w:val="left"/>
              <w:rPr>
                <w:rFonts w:eastAsia="仿宋_GB2312"/>
                <w:szCs w:val="21"/>
              </w:rPr>
            </w:pPr>
          </w:p>
        </w:tc>
        <w:tc>
          <w:tcPr>
            <w:tcW w:w="897" w:type="dxa"/>
            <w:noWrap w:val="0"/>
            <w:vAlign w:val="center"/>
          </w:tcPr>
          <w:p>
            <w:pPr>
              <w:autoSpaceDN w:val="0"/>
              <w:spacing w:line="32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01" w:type="dxa"/>
            <w:noWrap w:val="0"/>
            <w:vAlign w:val="center"/>
          </w:tcPr>
          <w:p>
            <w:pPr>
              <w:autoSpaceDN w:val="0"/>
              <w:spacing w:line="320" w:lineRule="exact"/>
              <w:jc w:val="center"/>
              <w:rPr>
                <w:rFonts w:eastAsia="仿宋_GB2312"/>
                <w:szCs w:val="21"/>
              </w:rPr>
            </w:pPr>
            <w:r>
              <w:rPr>
                <w:rFonts w:hint="eastAsia" w:eastAsia="仿宋_GB2312"/>
                <w:szCs w:val="21"/>
              </w:rPr>
              <w:t>严格监管执法</w:t>
            </w:r>
          </w:p>
        </w:tc>
        <w:tc>
          <w:tcPr>
            <w:tcW w:w="7671" w:type="dxa"/>
            <w:noWrap w:val="0"/>
            <w:vAlign w:val="center"/>
          </w:tcPr>
          <w:p>
            <w:pPr>
              <w:autoSpaceDN w:val="0"/>
              <w:spacing w:line="300" w:lineRule="exact"/>
              <w:jc w:val="left"/>
              <w:rPr>
                <w:rFonts w:eastAsia="仿宋_GB2312"/>
                <w:szCs w:val="21"/>
              </w:rPr>
            </w:pPr>
            <w:r>
              <w:rPr>
                <w:rFonts w:hint="eastAsia" w:eastAsia="仿宋_GB2312"/>
                <w:szCs w:val="21"/>
              </w:rPr>
              <w:t>各地各有关部门持续推进“护安2022”监管执法专项行动，采取“四不两直”“三带三查”、联合执法、专家指导服务等方式，精准发现、打击违法行为，真正解决问题情况。</w:t>
            </w:r>
          </w:p>
        </w:tc>
        <w:tc>
          <w:tcPr>
            <w:tcW w:w="3181" w:type="dxa"/>
            <w:noWrap w:val="0"/>
            <w:vAlign w:val="center"/>
          </w:tcPr>
          <w:p>
            <w:pPr>
              <w:autoSpaceDN w:val="0"/>
              <w:spacing w:line="320" w:lineRule="exact"/>
              <w:jc w:val="left"/>
              <w:rPr>
                <w:rFonts w:eastAsia="仿宋_GB2312"/>
                <w:szCs w:val="21"/>
              </w:rPr>
            </w:pPr>
          </w:p>
        </w:tc>
        <w:tc>
          <w:tcPr>
            <w:tcW w:w="897" w:type="dxa"/>
            <w:noWrap w:val="0"/>
            <w:vAlign w:val="center"/>
          </w:tcPr>
          <w:p>
            <w:pPr>
              <w:autoSpaceDN w:val="0"/>
              <w:spacing w:line="32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901" w:type="dxa"/>
            <w:noWrap w:val="0"/>
            <w:vAlign w:val="center"/>
          </w:tcPr>
          <w:p>
            <w:pPr>
              <w:autoSpaceDN w:val="0"/>
              <w:spacing w:line="320" w:lineRule="exact"/>
              <w:jc w:val="center"/>
              <w:rPr>
                <w:rFonts w:eastAsia="仿宋_GB2312"/>
                <w:szCs w:val="21"/>
              </w:rPr>
            </w:pPr>
            <w:r>
              <w:rPr>
                <w:rFonts w:hint="eastAsia" w:eastAsia="仿宋_GB2312"/>
                <w:szCs w:val="21"/>
              </w:rPr>
              <w:t>抓紧抓实汛期安全生产工作</w:t>
            </w:r>
          </w:p>
        </w:tc>
        <w:tc>
          <w:tcPr>
            <w:tcW w:w="7671" w:type="dxa"/>
            <w:noWrap w:val="0"/>
            <w:vAlign w:val="center"/>
          </w:tcPr>
          <w:p>
            <w:pPr>
              <w:autoSpaceDN w:val="0"/>
              <w:spacing w:line="300" w:lineRule="exact"/>
              <w:jc w:val="left"/>
              <w:rPr>
                <w:rFonts w:eastAsia="仿宋_GB2312"/>
                <w:szCs w:val="21"/>
              </w:rPr>
            </w:pPr>
            <w:r>
              <w:rPr>
                <w:rFonts w:eastAsia="仿宋_GB2312"/>
                <w:szCs w:val="21"/>
              </w:rPr>
              <w:t>1.</w:t>
            </w:r>
            <w:r>
              <w:rPr>
                <w:rFonts w:hint="eastAsia" w:eastAsia="仿宋_GB2312"/>
                <w:szCs w:val="21"/>
              </w:rPr>
              <w:t>各地进一步修订完善防汛抗旱相关应急预案，推动防汛包保责任制和隐患排查制度落实，党政主要领导要组织开展参与防汛演练情况。</w:t>
            </w:r>
          </w:p>
          <w:p>
            <w:pPr>
              <w:autoSpaceDN w:val="0"/>
              <w:spacing w:line="300" w:lineRule="exact"/>
              <w:jc w:val="left"/>
              <w:rPr>
                <w:rFonts w:eastAsia="仿宋_GB2312"/>
                <w:szCs w:val="21"/>
              </w:rPr>
            </w:pPr>
            <w:r>
              <w:rPr>
                <w:rFonts w:eastAsia="仿宋_GB2312"/>
                <w:szCs w:val="21"/>
              </w:rPr>
              <w:t>2.</w:t>
            </w:r>
            <w:r>
              <w:rPr>
                <w:rFonts w:hint="eastAsia" w:eastAsia="仿宋_GB2312"/>
                <w:szCs w:val="21"/>
              </w:rPr>
              <w:t>建立健全预报、预警体系，完善“上下游”和“左右岸”预警等机制，及时将预警信息传达到有关企业和单位，指导和督促有关单位和企业做好汛期安全防范应对工作情况。</w:t>
            </w:r>
          </w:p>
        </w:tc>
        <w:tc>
          <w:tcPr>
            <w:tcW w:w="3181" w:type="dxa"/>
            <w:noWrap w:val="0"/>
            <w:vAlign w:val="center"/>
          </w:tcPr>
          <w:p>
            <w:pPr>
              <w:autoSpaceDN w:val="0"/>
              <w:spacing w:line="320" w:lineRule="exact"/>
              <w:jc w:val="left"/>
              <w:rPr>
                <w:rFonts w:eastAsia="仿宋_GB2312"/>
                <w:szCs w:val="21"/>
              </w:rPr>
            </w:pPr>
          </w:p>
        </w:tc>
        <w:tc>
          <w:tcPr>
            <w:tcW w:w="897" w:type="dxa"/>
            <w:noWrap w:val="0"/>
            <w:vAlign w:val="center"/>
          </w:tcPr>
          <w:p>
            <w:pPr>
              <w:autoSpaceDN w:val="0"/>
              <w:spacing w:line="32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901" w:type="dxa"/>
            <w:noWrap w:val="0"/>
            <w:vAlign w:val="center"/>
          </w:tcPr>
          <w:p>
            <w:pPr>
              <w:autoSpaceDN w:val="0"/>
              <w:spacing w:line="320" w:lineRule="exact"/>
              <w:jc w:val="center"/>
              <w:rPr>
                <w:rFonts w:eastAsia="仿宋_GB2312"/>
                <w:szCs w:val="21"/>
              </w:rPr>
            </w:pPr>
            <w:r>
              <w:rPr>
                <w:rFonts w:hint="eastAsia" w:eastAsia="仿宋_GB2312"/>
                <w:szCs w:val="21"/>
              </w:rPr>
              <w:t>严防严控森林火灾</w:t>
            </w:r>
          </w:p>
        </w:tc>
        <w:tc>
          <w:tcPr>
            <w:tcW w:w="7671" w:type="dxa"/>
            <w:noWrap w:val="0"/>
            <w:vAlign w:val="center"/>
          </w:tcPr>
          <w:p>
            <w:pPr>
              <w:autoSpaceDN w:val="0"/>
              <w:spacing w:line="300" w:lineRule="exact"/>
              <w:jc w:val="left"/>
              <w:rPr>
                <w:rFonts w:eastAsia="仿宋_GB2312"/>
                <w:szCs w:val="21"/>
              </w:rPr>
            </w:pPr>
            <w:r>
              <w:rPr>
                <w:rFonts w:eastAsia="仿宋_GB2312"/>
                <w:szCs w:val="21"/>
              </w:rPr>
              <w:t>1.</w:t>
            </w:r>
            <w:r>
              <w:rPr>
                <w:rFonts w:hint="eastAsia" w:eastAsia="仿宋_GB2312"/>
                <w:szCs w:val="21"/>
              </w:rPr>
              <w:t>各地健全完善末端发力终端见效工作长效机制，继续强化重点目标、重点区域的火源管控、隐患排查治理，落实“台账一清单一销号制”制度情况。</w:t>
            </w:r>
          </w:p>
          <w:p>
            <w:pPr>
              <w:autoSpaceDN w:val="0"/>
              <w:spacing w:line="300" w:lineRule="exact"/>
              <w:jc w:val="left"/>
              <w:rPr>
                <w:rFonts w:eastAsia="仿宋_GB2312"/>
                <w:szCs w:val="21"/>
              </w:rPr>
            </w:pPr>
            <w:r>
              <w:rPr>
                <w:rFonts w:eastAsia="仿宋_GB2312"/>
                <w:szCs w:val="21"/>
              </w:rPr>
              <w:t>2.</w:t>
            </w:r>
            <w:r>
              <w:rPr>
                <w:rFonts w:hint="eastAsia" w:eastAsia="仿宋_GB2312"/>
                <w:szCs w:val="21"/>
              </w:rPr>
              <w:t>推进森林防灭火科普宣教，抓实抓细常态化森林防灭火工作情况。</w:t>
            </w:r>
          </w:p>
        </w:tc>
        <w:tc>
          <w:tcPr>
            <w:tcW w:w="3181" w:type="dxa"/>
            <w:noWrap w:val="0"/>
            <w:vAlign w:val="center"/>
          </w:tcPr>
          <w:p>
            <w:pPr>
              <w:autoSpaceDN w:val="0"/>
              <w:spacing w:line="320" w:lineRule="exact"/>
              <w:jc w:val="left"/>
              <w:rPr>
                <w:rFonts w:eastAsia="仿宋_GB2312"/>
                <w:szCs w:val="21"/>
              </w:rPr>
            </w:pPr>
          </w:p>
        </w:tc>
        <w:tc>
          <w:tcPr>
            <w:tcW w:w="897" w:type="dxa"/>
            <w:noWrap w:val="0"/>
            <w:vAlign w:val="center"/>
          </w:tcPr>
          <w:p>
            <w:pPr>
              <w:autoSpaceDN w:val="0"/>
              <w:spacing w:line="32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901" w:type="dxa"/>
            <w:noWrap w:val="0"/>
            <w:vAlign w:val="center"/>
          </w:tcPr>
          <w:p>
            <w:pPr>
              <w:autoSpaceDN w:val="0"/>
              <w:spacing w:line="320" w:lineRule="exact"/>
              <w:jc w:val="center"/>
              <w:rPr>
                <w:rFonts w:eastAsia="仿宋_GB2312"/>
                <w:szCs w:val="21"/>
              </w:rPr>
            </w:pPr>
            <w:r>
              <w:rPr>
                <w:rFonts w:hint="eastAsia" w:eastAsia="仿宋_GB2312"/>
                <w:szCs w:val="21"/>
              </w:rPr>
              <w:t>开展火灾隐患专项治理</w:t>
            </w:r>
          </w:p>
        </w:tc>
        <w:tc>
          <w:tcPr>
            <w:tcW w:w="7671" w:type="dxa"/>
            <w:noWrap w:val="0"/>
            <w:vAlign w:val="center"/>
          </w:tcPr>
          <w:p>
            <w:pPr>
              <w:autoSpaceDN w:val="0"/>
              <w:spacing w:line="300" w:lineRule="exact"/>
              <w:jc w:val="left"/>
              <w:rPr>
                <w:rFonts w:eastAsia="仿宋_GB2312"/>
                <w:szCs w:val="21"/>
              </w:rPr>
            </w:pPr>
            <w:r>
              <w:rPr>
                <w:rFonts w:hint="eastAsia" w:eastAsia="仿宋_GB2312"/>
                <w:szCs w:val="21"/>
              </w:rPr>
              <w:t>各地各有关部门开展生产经营租住房（居）民自建房重大火灾隐患综合治理和高层建筑重大火灾风险专项整治行动，紧盯可能发生群死群伤火灾事故的农村生产经营性自建房以及老旧小区、商业综合体、农贸市场、高层建筑等重点，对发现的火灾隐患立即督促整改，切实消除火灾隐患。</w:t>
            </w:r>
          </w:p>
        </w:tc>
        <w:tc>
          <w:tcPr>
            <w:tcW w:w="3181" w:type="dxa"/>
            <w:noWrap w:val="0"/>
            <w:vAlign w:val="center"/>
          </w:tcPr>
          <w:p>
            <w:pPr>
              <w:autoSpaceDN w:val="0"/>
              <w:spacing w:line="320" w:lineRule="exact"/>
              <w:jc w:val="left"/>
              <w:rPr>
                <w:rFonts w:eastAsia="仿宋_GB2312"/>
                <w:szCs w:val="21"/>
              </w:rPr>
            </w:pPr>
          </w:p>
        </w:tc>
        <w:tc>
          <w:tcPr>
            <w:tcW w:w="897" w:type="dxa"/>
            <w:noWrap w:val="0"/>
            <w:vAlign w:val="center"/>
          </w:tcPr>
          <w:p>
            <w:pPr>
              <w:autoSpaceDN w:val="0"/>
              <w:spacing w:line="32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1901" w:type="dxa"/>
            <w:noWrap w:val="0"/>
            <w:vAlign w:val="center"/>
          </w:tcPr>
          <w:p>
            <w:pPr>
              <w:autoSpaceDN w:val="0"/>
              <w:spacing w:line="320" w:lineRule="exact"/>
              <w:jc w:val="center"/>
              <w:rPr>
                <w:rFonts w:eastAsia="仿宋_GB2312"/>
                <w:b/>
                <w:bCs/>
                <w:szCs w:val="21"/>
              </w:rPr>
            </w:pPr>
            <w:r>
              <w:rPr>
                <w:rFonts w:hint="eastAsia" w:eastAsia="仿宋_GB2312"/>
                <w:szCs w:val="21"/>
              </w:rPr>
              <w:t>基层应急全面备战行动</w:t>
            </w:r>
          </w:p>
        </w:tc>
        <w:tc>
          <w:tcPr>
            <w:tcW w:w="7671" w:type="dxa"/>
            <w:noWrap w:val="0"/>
            <w:vAlign w:val="center"/>
          </w:tcPr>
          <w:p>
            <w:pPr>
              <w:autoSpaceDN w:val="0"/>
              <w:spacing w:line="320" w:lineRule="exact"/>
              <w:jc w:val="left"/>
              <w:rPr>
                <w:rFonts w:eastAsia="仿宋_GB2312"/>
                <w:szCs w:val="21"/>
              </w:rPr>
            </w:pPr>
            <w:r>
              <w:rPr>
                <w:rFonts w:eastAsia="仿宋_GB2312"/>
                <w:szCs w:val="21"/>
              </w:rPr>
              <w:t>1.</w:t>
            </w:r>
            <w:r>
              <w:rPr>
                <w:rFonts w:hint="eastAsia" w:eastAsia="仿宋_GB2312"/>
                <w:szCs w:val="21"/>
              </w:rPr>
              <w:t>各职能部门、乡镇加强应急管理、安全生产、防灾减灾救灾等工作情况。</w:t>
            </w:r>
          </w:p>
          <w:p>
            <w:pPr>
              <w:autoSpaceDN w:val="0"/>
              <w:spacing w:line="320" w:lineRule="exact"/>
              <w:jc w:val="left"/>
              <w:rPr>
                <w:rFonts w:eastAsia="仿宋_GB2312"/>
                <w:szCs w:val="21"/>
              </w:rPr>
            </w:pPr>
            <w:r>
              <w:rPr>
                <w:rFonts w:hint="eastAsia" w:eastAsia="仿宋_GB2312"/>
                <w:szCs w:val="21"/>
              </w:rPr>
              <w:t>2.各级各有关部门破解应急基础薄弱、安全监管缺位等瓶颈问题情况。</w:t>
            </w:r>
          </w:p>
          <w:p>
            <w:pPr>
              <w:autoSpaceDN w:val="0"/>
              <w:spacing w:line="320" w:lineRule="exact"/>
              <w:jc w:val="left"/>
              <w:rPr>
                <w:rFonts w:eastAsia="仿宋_GB2312"/>
                <w:szCs w:val="21"/>
              </w:rPr>
            </w:pPr>
            <w:r>
              <w:rPr>
                <w:rFonts w:hint="eastAsia" w:eastAsia="仿宋_GB2312"/>
                <w:szCs w:val="21"/>
              </w:rPr>
              <w:t>3.推动应急管理和社会治理办公室配齐力量、充分履职工作情况。</w:t>
            </w:r>
          </w:p>
          <w:p>
            <w:pPr>
              <w:autoSpaceDN w:val="0"/>
              <w:spacing w:line="320" w:lineRule="exact"/>
              <w:jc w:val="left"/>
              <w:rPr>
                <w:rFonts w:eastAsia="仿宋_GB2312"/>
                <w:szCs w:val="21"/>
              </w:rPr>
            </w:pPr>
            <w:r>
              <w:rPr>
                <w:rFonts w:hint="eastAsia" w:eastAsia="仿宋_GB2312"/>
                <w:szCs w:val="21"/>
              </w:rPr>
              <w:t>4.加快乡镇专职消防救援站建设，建立乡镇片区应急指挥、协调联动和物资储备工作机制情况。</w:t>
            </w:r>
          </w:p>
          <w:p>
            <w:pPr>
              <w:autoSpaceDN w:val="0"/>
              <w:spacing w:line="320" w:lineRule="exact"/>
              <w:jc w:val="left"/>
              <w:rPr>
                <w:rFonts w:eastAsia="仿宋_GB2312"/>
                <w:szCs w:val="21"/>
              </w:rPr>
            </w:pPr>
            <w:r>
              <w:rPr>
                <w:rFonts w:hint="eastAsia" w:eastAsia="仿宋_GB2312"/>
                <w:szCs w:val="21"/>
              </w:rPr>
              <w:t>5..按照全市开展应急预案培训活动要求，抓好学习培训、应急演练、预案修编和集中宣传四大主题活动，提升突发事件先期处置能力情况。</w:t>
            </w:r>
          </w:p>
          <w:p>
            <w:pPr>
              <w:autoSpaceDN w:val="0"/>
              <w:spacing w:line="320" w:lineRule="exact"/>
              <w:jc w:val="left"/>
              <w:rPr>
                <w:rFonts w:eastAsia="仿宋_GB2312"/>
                <w:szCs w:val="21"/>
              </w:rPr>
            </w:pPr>
            <w:r>
              <w:rPr>
                <w:rFonts w:hint="eastAsia" w:eastAsia="仿宋_GB2312"/>
                <w:szCs w:val="21"/>
              </w:rPr>
              <w:t>6.建立健全应急救援联动机制，各类应急救援队伍要时刻保持良好值班备勤状态情况。</w:t>
            </w:r>
          </w:p>
          <w:p>
            <w:pPr>
              <w:autoSpaceDN w:val="0"/>
              <w:spacing w:line="320" w:lineRule="exact"/>
              <w:jc w:val="left"/>
              <w:rPr>
                <w:rFonts w:eastAsia="仿宋_GB2312"/>
                <w:szCs w:val="21"/>
              </w:rPr>
            </w:pPr>
            <w:r>
              <w:rPr>
                <w:rFonts w:hint="eastAsia" w:eastAsia="仿宋_GB2312"/>
                <w:szCs w:val="21"/>
              </w:rPr>
              <w:t>7.严格执行领导带班、24小时值班值守和信息报告等制度，加强物资储备、队伍准备情况。</w:t>
            </w:r>
          </w:p>
          <w:p>
            <w:pPr>
              <w:tabs>
                <w:tab w:val="left" w:pos="360"/>
              </w:tabs>
              <w:autoSpaceDN w:val="0"/>
              <w:spacing w:line="320" w:lineRule="exact"/>
              <w:jc w:val="left"/>
              <w:rPr>
                <w:rFonts w:eastAsia="仿宋_GB2312"/>
                <w:szCs w:val="21"/>
              </w:rPr>
            </w:pPr>
            <w:r>
              <w:rPr>
                <w:rFonts w:eastAsia="仿宋_GB2312"/>
                <w:szCs w:val="21"/>
              </w:rPr>
              <w:t>8.</w:t>
            </w:r>
            <w:r>
              <w:rPr>
                <w:rFonts w:hint="eastAsia" w:eastAsia="仿宋_GB2312"/>
                <w:szCs w:val="21"/>
              </w:rPr>
              <w:t>立足应对极端天气，加强监测预警、联防联控和应对措施等情况。</w:t>
            </w:r>
          </w:p>
          <w:p>
            <w:pPr>
              <w:tabs>
                <w:tab w:val="left" w:pos="360"/>
              </w:tabs>
              <w:autoSpaceDN w:val="0"/>
              <w:spacing w:line="320" w:lineRule="exact"/>
              <w:jc w:val="left"/>
              <w:rPr>
                <w:rFonts w:eastAsia="仿宋_GB2312"/>
                <w:szCs w:val="21"/>
              </w:rPr>
            </w:pPr>
            <w:r>
              <w:rPr>
                <w:rFonts w:eastAsia="仿宋_GB2312"/>
                <w:szCs w:val="21"/>
              </w:rPr>
              <w:t>9.</w:t>
            </w:r>
            <w:r>
              <w:rPr>
                <w:rFonts w:hint="eastAsia" w:eastAsia="仿宋_GB2312"/>
                <w:szCs w:val="21"/>
              </w:rPr>
              <w:t>各涉灾部门加强会商研判、监测预警和联防联控，开展防灾减灾工作情况。</w:t>
            </w:r>
          </w:p>
          <w:p>
            <w:pPr>
              <w:autoSpaceDN w:val="0"/>
              <w:spacing w:line="320" w:lineRule="exact"/>
              <w:jc w:val="left"/>
              <w:rPr>
                <w:szCs w:val="24"/>
              </w:rPr>
            </w:pPr>
            <w:r>
              <w:rPr>
                <w:rFonts w:eastAsia="仿宋_GB2312"/>
                <w:szCs w:val="21"/>
              </w:rPr>
              <w:t>10.</w:t>
            </w:r>
            <w:r>
              <w:rPr>
                <w:rFonts w:hint="eastAsia" w:eastAsia="仿宋_GB2312"/>
                <w:szCs w:val="21"/>
              </w:rPr>
              <w:t>加强地灾隐患点、山洪危险区、河心洲坝、水库、水电站等重点部位汛期安全隐患排查，严格落实</w:t>
            </w:r>
            <w:r>
              <w:rPr>
                <w:rFonts w:eastAsia="仿宋_GB2312"/>
                <w:szCs w:val="21"/>
              </w:rPr>
              <w:t>“三个避让”“三个紧急撤离”刚性要求</w:t>
            </w:r>
            <w:r>
              <w:rPr>
                <w:rFonts w:hint="eastAsia" w:eastAsia="仿宋_GB2312"/>
                <w:szCs w:val="21"/>
              </w:rPr>
              <w:t>情况。</w:t>
            </w:r>
          </w:p>
        </w:tc>
        <w:tc>
          <w:tcPr>
            <w:tcW w:w="3181" w:type="dxa"/>
            <w:noWrap w:val="0"/>
            <w:vAlign w:val="center"/>
          </w:tcPr>
          <w:p>
            <w:pPr>
              <w:autoSpaceDN w:val="0"/>
              <w:spacing w:line="320" w:lineRule="exact"/>
              <w:jc w:val="left"/>
              <w:rPr>
                <w:rFonts w:eastAsia="仿宋_GB2312"/>
                <w:szCs w:val="21"/>
              </w:rPr>
            </w:pPr>
          </w:p>
        </w:tc>
        <w:tc>
          <w:tcPr>
            <w:tcW w:w="897" w:type="dxa"/>
            <w:noWrap w:val="0"/>
            <w:vAlign w:val="center"/>
          </w:tcPr>
          <w:p>
            <w:pPr>
              <w:autoSpaceDN w:val="0"/>
              <w:spacing w:line="320" w:lineRule="exact"/>
              <w:jc w:val="left"/>
              <w:rPr>
                <w:rFonts w:eastAsia="仿宋_GB2312"/>
                <w:szCs w:val="21"/>
              </w:rPr>
            </w:pPr>
          </w:p>
        </w:tc>
      </w:tr>
    </w:tbl>
    <w:p>
      <w:pPr>
        <w:autoSpaceDN w:val="0"/>
        <w:spacing w:line="576" w:lineRule="exact"/>
        <w:jc w:val="left"/>
        <w:rPr>
          <w:rFonts w:eastAsia="仿宋_GB2312"/>
          <w:kern w:val="0"/>
          <w:sz w:val="28"/>
          <w:szCs w:val="28"/>
        </w:rPr>
      </w:pPr>
      <w:r>
        <w:rPr>
          <w:rFonts w:hint="eastAsia" w:eastAsia="仿宋_GB2312"/>
          <w:kern w:val="0"/>
          <w:sz w:val="28"/>
          <w:szCs w:val="28"/>
        </w:rPr>
        <w:t>督查组组长签字：</w:t>
      </w:r>
      <w:r>
        <w:rPr>
          <w:rFonts w:eastAsia="仿宋_GB2312"/>
          <w:kern w:val="0"/>
          <w:sz w:val="28"/>
          <w:szCs w:val="28"/>
        </w:rPr>
        <w:t xml:space="preserve">                                          </w:t>
      </w:r>
      <w:r>
        <w:rPr>
          <w:rFonts w:hint="eastAsia" w:eastAsia="仿宋_GB2312"/>
          <w:kern w:val="0"/>
          <w:sz w:val="28"/>
          <w:szCs w:val="28"/>
        </w:rPr>
        <w:t>接受督查单位签字：</w:t>
      </w:r>
    </w:p>
    <w:p>
      <w:pPr>
        <w:autoSpaceDN w:val="0"/>
        <w:spacing w:line="576" w:lineRule="exact"/>
        <w:rPr>
          <w:rFonts w:eastAsia="仿宋"/>
          <w:szCs w:val="24"/>
        </w:rPr>
      </w:pPr>
    </w:p>
    <w:p>
      <w:pPr>
        <w:autoSpaceDN w:val="0"/>
        <w:spacing w:line="576" w:lineRule="exact"/>
        <w:jc w:val="left"/>
        <w:rPr>
          <w:rFonts w:eastAsia="黑体"/>
          <w:bCs/>
          <w:sz w:val="32"/>
          <w:szCs w:val="32"/>
        </w:rPr>
      </w:pPr>
    </w:p>
    <w:p/>
    <w:p/>
    <w:p/>
    <w:p/>
    <w:p/>
    <w:p/>
    <w:p/>
    <w:p/>
    <w:p/>
    <w:p>
      <w:pPr>
        <w:autoSpaceDN w:val="0"/>
        <w:spacing w:line="576" w:lineRule="exact"/>
        <w:jc w:val="left"/>
        <w:rPr>
          <w:rFonts w:eastAsia="黑体"/>
          <w:bCs/>
          <w:szCs w:val="24"/>
        </w:rPr>
      </w:pPr>
      <w:r>
        <w:rPr>
          <w:rFonts w:hint="eastAsia" w:eastAsia="黑体"/>
          <w:bCs/>
          <w:sz w:val="32"/>
          <w:szCs w:val="32"/>
        </w:rPr>
        <w:t>附件</w:t>
      </w:r>
      <w:r>
        <w:rPr>
          <w:rFonts w:eastAsia="黑体"/>
          <w:bCs/>
          <w:sz w:val="32"/>
          <w:szCs w:val="32"/>
        </w:rPr>
        <w:t>4-2</w:t>
      </w:r>
    </w:p>
    <w:p>
      <w:pPr>
        <w:autoSpaceDN w:val="0"/>
        <w:spacing w:line="576" w:lineRule="exact"/>
        <w:jc w:val="center"/>
        <w:rPr>
          <w:rFonts w:eastAsia="仿宋_GB2312"/>
          <w:sz w:val="32"/>
          <w:szCs w:val="24"/>
        </w:rPr>
      </w:pPr>
    </w:p>
    <w:p>
      <w:pPr>
        <w:autoSpaceDN w:val="0"/>
        <w:spacing w:line="576" w:lineRule="exact"/>
        <w:jc w:val="center"/>
        <w:rPr>
          <w:rFonts w:eastAsia="方正小标宋简体"/>
          <w:kern w:val="0"/>
          <w:sz w:val="40"/>
          <w:szCs w:val="40"/>
        </w:rPr>
      </w:pPr>
      <w:r>
        <w:rPr>
          <w:rFonts w:hint="eastAsia" w:eastAsia="方正小标宋简体"/>
          <w:kern w:val="0"/>
          <w:sz w:val="40"/>
          <w:szCs w:val="40"/>
        </w:rPr>
        <w:t>督查事项清单</w:t>
      </w:r>
    </w:p>
    <w:p>
      <w:pPr>
        <w:autoSpaceDN w:val="0"/>
        <w:spacing w:line="576" w:lineRule="exact"/>
        <w:jc w:val="center"/>
        <w:rPr>
          <w:rFonts w:eastAsia="楷体_GB2312"/>
          <w:kern w:val="0"/>
          <w:sz w:val="28"/>
          <w:szCs w:val="28"/>
        </w:rPr>
      </w:pPr>
      <w:r>
        <w:rPr>
          <w:rFonts w:hint="eastAsia" w:eastAsia="楷体_GB2312"/>
          <w:kern w:val="0"/>
          <w:sz w:val="28"/>
          <w:szCs w:val="28"/>
        </w:rPr>
        <w:t>（企事业单位层面）</w:t>
      </w:r>
    </w:p>
    <w:p>
      <w:pPr>
        <w:tabs>
          <w:tab w:val="left" w:pos="360"/>
        </w:tabs>
        <w:autoSpaceDN w:val="0"/>
        <w:spacing w:line="576" w:lineRule="exact"/>
        <w:rPr>
          <w:szCs w:val="24"/>
        </w:rPr>
      </w:pPr>
    </w:p>
    <w:tbl>
      <w:tblPr>
        <w:tblStyle w:val="2"/>
        <w:tblW w:w="13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8743"/>
        <w:gridCol w:w="2516"/>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993" w:type="dxa"/>
            <w:noWrap w:val="0"/>
            <w:vAlign w:val="center"/>
          </w:tcPr>
          <w:p>
            <w:pPr>
              <w:autoSpaceDN w:val="0"/>
              <w:spacing w:line="576" w:lineRule="exact"/>
              <w:jc w:val="center"/>
              <w:rPr>
                <w:rFonts w:eastAsia="黑体"/>
                <w:szCs w:val="21"/>
              </w:rPr>
            </w:pPr>
            <w:r>
              <w:rPr>
                <w:rFonts w:hint="eastAsia" w:eastAsia="黑体"/>
                <w:szCs w:val="21"/>
              </w:rPr>
              <w:t>主要内容</w:t>
            </w:r>
          </w:p>
        </w:tc>
        <w:tc>
          <w:tcPr>
            <w:tcW w:w="8743" w:type="dxa"/>
            <w:noWrap w:val="0"/>
            <w:vAlign w:val="center"/>
          </w:tcPr>
          <w:p>
            <w:pPr>
              <w:autoSpaceDN w:val="0"/>
              <w:spacing w:line="576" w:lineRule="exact"/>
              <w:jc w:val="center"/>
              <w:rPr>
                <w:rFonts w:eastAsia="黑体"/>
                <w:szCs w:val="21"/>
              </w:rPr>
            </w:pPr>
            <w:r>
              <w:rPr>
                <w:rFonts w:hint="eastAsia" w:eastAsia="黑体"/>
                <w:szCs w:val="21"/>
              </w:rPr>
              <w:t>检查要点</w:t>
            </w:r>
          </w:p>
        </w:tc>
        <w:tc>
          <w:tcPr>
            <w:tcW w:w="2516" w:type="dxa"/>
            <w:noWrap w:val="0"/>
            <w:vAlign w:val="center"/>
          </w:tcPr>
          <w:p>
            <w:pPr>
              <w:autoSpaceDN w:val="0"/>
              <w:spacing w:line="576" w:lineRule="exact"/>
              <w:jc w:val="center"/>
              <w:rPr>
                <w:rFonts w:eastAsia="黑体"/>
                <w:szCs w:val="21"/>
              </w:rPr>
            </w:pPr>
            <w:r>
              <w:rPr>
                <w:rFonts w:hint="eastAsia" w:eastAsia="黑体"/>
                <w:szCs w:val="21"/>
              </w:rPr>
              <w:t>检查情况</w:t>
            </w:r>
          </w:p>
        </w:tc>
        <w:tc>
          <w:tcPr>
            <w:tcW w:w="679" w:type="dxa"/>
            <w:noWrap w:val="0"/>
            <w:vAlign w:val="center"/>
          </w:tcPr>
          <w:p>
            <w:pPr>
              <w:autoSpaceDN w:val="0"/>
              <w:spacing w:line="576" w:lineRule="exact"/>
              <w:jc w:val="center"/>
              <w:rPr>
                <w:rFonts w:eastAsia="黑体"/>
                <w:szCs w:val="21"/>
              </w:rPr>
            </w:pPr>
            <w:r>
              <w:rPr>
                <w:rFonts w:hint="eastAsia"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jc w:val="center"/>
        </w:trPr>
        <w:tc>
          <w:tcPr>
            <w:tcW w:w="1993" w:type="dxa"/>
            <w:noWrap w:val="0"/>
            <w:vAlign w:val="center"/>
          </w:tcPr>
          <w:p>
            <w:pPr>
              <w:autoSpaceDN w:val="0"/>
              <w:spacing w:line="260" w:lineRule="exact"/>
              <w:jc w:val="left"/>
              <w:rPr>
                <w:rFonts w:eastAsia="仿宋_GB2312"/>
                <w:szCs w:val="21"/>
              </w:rPr>
            </w:pPr>
            <w:r>
              <w:rPr>
                <w:rFonts w:hint="eastAsia" w:eastAsia="仿宋_GB2312"/>
                <w:szCs w:val="21"/>
              </w:rPr>
              <w:t>贯彻落实全国全省全市安全生产决策部署</w:t>
            </w:r>
          </w:p>
        </w:tc>
        <w:tc>
          <w:tcPr>
            <w:tcW w:w="8743" w:type="dxa"/>
            <w:noWrap w:val="0"/>
            <w:vAlign w:val="center"/>
          </w:tcPr>
          <w:p>
            <w:pPr>
              <w:autoSpaceDN w:val="0"/>
              <w:spacing w:line="260" w:lineRule="exact"/>
              <w:jc w:val="left"/>
              <w:rPr>
                <w:rFonts w:eastAsia="仿宋_GB2312"/>
                <w:szCs w:val="21"/>
              </w:rPr>
            </w:pPr>
            <w:r>
              <w:rPr>
                <w:rFonts w:eastAsia="仿宋_GB2312"/>
                <w:szCs w:val="21"/>
              </w:rPr>
              <w:t>1</w:t>
            </w:r>
            <w:r>
              <w:rPr>
                <w:rFonts w:hint="eastAsia" w:eastAsia="仿宋_GB2312"/>
                <w:szCs w:val="21"/>
              </w:rPr>
              <w:t>.企业对全国全省全市各类安全生产重点工作、重要会议精神传达学习和落实情况。</w:t>
            </w:r>
          </w:p>
          <w:p>
            <w:pPr>
              <w:autoSpaceDN w:val="0"/>
              <w:spacing w:line="260" w:lineRule="exact"/>
              <w:jc w:val="left"/>
              <w:rPr>
                <w:rFonts w:eastAsia="仿宋_GB2312"/>
                <w:szCs w:val="21"/>
              </w:rPr>
            </w:pPr>
            <w:r>
              <w:rPr>
                <w:rFonts w:eastAsia="仿宋_GB2312"/>
                <w:szCs w:val="21"/>
              </w:rPr>
              <w:t>2.</w:t>
            </w:r>
            <w:r>
              <w:rPr>
                <w:rFonts w:hint="eastAsia" w:eastAsia="仿宋_GB2312"/>
                <w:szCs w:val="21"/>
              </w:rPr>
              <w:t>企业负责人及相关安全管理人员知晓并认真开展“奋战一百天、护航二十大”安全生产专项行动，狠抓贯彻落实情况。</w:t>
            </w:r>
          </w:p>
          <w:p>
            <w:pPr>
              <w:autoSpaceDN w:val="0"/>
              <w:spacing w:line="260" w:lineRule="exact"/>
              <w:jc w:val="left"/>
              <w:rPr>
                <w:rFonts w:eastAsia="仿宋_GB2312"/>
                <w:szCs w:val="21"/>
              </w:rPr>
            </w:pPr>
            <w:r>
              <w:rPr>
                <w:rFonts w:eastAsia="仿宋_GB2312"/>
                <w:szCs w:val="21"/>
              </w:rPr>
              <w:t>3</w:t>
            </w:r>
            <w:r>
              <w:rPr>
                <w:rFonts w:hint="eastAsia" w:eastAsia="仿宋_GB2312"/>
                <w:szCs w:val="21"/>
              </w:rPr>
              <w:t>.企业主要负责人在高温期、汛期、中秋、国庆期间带队开展安全检查工作情况。</w:t>
            </w:r>
          </w:p>
          <w:p>
            <w:pPr>
              <w:autoSpaceDN w:val="0"/>
              <w:spacing w:line="260" w:lineRule="exact"/>
              <w:jc w:val="left"/>
              <w:rPr>
                <w:rFonts w:eastAsia="仿宋_GB2312"/>
                <w:szCs w:val="21"/>
              </w:rPr>
            </w:pPr>
            <w:r>
              <w:rPr>
                <w:rFonts w:eastAsia="仿宋_GB2312"/>
                <w:szCs w:val="21"/>
              </w:rPr>
              <w:t>4</w:t>
            </w:r>
            <w:r>
              <w:rPr>
                <w:rFonts w:hint="eastAsia" w:eastAsia="仿宋_GB2312"/>
                <w:szCs w:val="21"/>
              </w:rPr>
              <w:t>.企业主要负责人履职、建立和落实安全生产责任制，制定安全承诺清单并公示情况。</w:t>
            </w:r>
          </w:p>
          <w:p>
            <w:pPr>
              <w:autoSpaceDN w:val="0"/>
              <w:spacing w:line="260" w:lineRule="exact"/>
              <w:jc w:val="left"/>
              <w:rPr>
                <w:rFonts w:eastAsia="仿宋_GB2312"/>
                <w:szCs w:val="21"/>
              </w:rPr>
            </w:pPr>
            <w:r>
              <w:rPr>
                <w:rFonts w:eastAsia="仿宋_GB2312"/>
                <w:szCs w:val="21"/>
              </w:rPr>
              <w:t>5</w:t>
            </w:r>
            <w:r>
              <w:rPr>
                <w:rFonts w:hint="eastAsia" w:eastAsia="仿宋_GB2312"/>
                <w:szCs w:val="21"/>
              </w:rPr>
              <w:t>.企业依法设置安全生产管理机构或配备安全生产管理人员和安全生产费用提取和使用情况。</w:t>
            </w:r>
          </w:p>
          <w:p>
            <w:pPr>
              <w:autoSpaceDN w:val="0"/>
              <w:spacing w:line="260" w:lineRule="exact"/>
              <w:jc w:val="left"/>
              <w:rPr>
                <w:rFonts w:eastAsia="仿宋_GB2312"/>
                <w:szCs w:val="21"/>
              </w:rPr>
            </w:pPr>
            <w:r>
              <w:rPr>
                <w:rFonts w:eastAsia="仿宋_GB2312"/>
                <w:szCs w:val="21"/>
              </w:rPr>
              <w:t>6.</w:t>
            </w:r>
            <w:r>
              <w:rPr>
                <w:rFonts w:hint="eastAsia" w:eastAsia="仿宋_GB2312"/>
                <w:szCs w:val="21"/>
              </w:rPr>
              <w:t>学习贯彻新《安全生产法》，认真开展安全教育培训情况。</w:t>
            </w:r>
          </w:p>
          <w:p>
            <w:pPr>
              <w:autoSpaceDN w:val="0"/>
              <w:spacing w:line="260" w:lineRule="exact"/>
              <w:jc w:val="left"/>
              <w:rPr>
                <w:rFonts w:eastAsia="仿宋_GB2312"/>
                <w:szCs w:val="21"/>
              </w:rPr>
            </w:pPr>
            <w:r>
              <w:rPr>
                <w:rFonts w:eastAsia="仿宋_GB2312"/>
                <w:szCs w:val="21"/>
              </w:rPr>
              <w:t>7.</w:t>
            </w:r>
            <w:r>
              <w:rPr>
                <w:rFonts w:hint="eastAsia" w:eastAsia="仿宋_GB2312"/>
                <w:szCs w:val="21"/>
              </w:rPr>
              <w:t>危险化学品、交通运输、建筑施工、金属冶炼等高危企业购买安全生产责任保险情况。</w:t>
            </w:r>
          </w:p>
          <w:p>
            <w:pPr>
              <w:autoSpaceDN w:val="0"/>
              <w:spacing w:line="260" w:lineRule="exact"/>
              <w:jc w:val="left"/>
              <w:rPr>
                <w:rFonts w:eastAsia="仿宋_GB2312"/>
                <w:szCs w:val="21"/>
              </w:rPr>
            </w:pPr>
            <w:r>
              <w:rPr>
                <w:rFonts w:eastAsia="仿宋_GB2312"/>
                <w:szCs w:val="21"/>
              </w:rPr>
              <w:t>8</w:t>
            </w:r>
            <w:r>
              <w:rPr>
                <w:rFonts w:hint="eastAsia" w:eastAsia="仿宋_GB2312"/>
                <w:szCs w:val="21"/>
              </w:rPr>
              <w:t>.金属冶炼、建筑施工、道路运输和危险物品的生产、经营、存储企业配备注册安全工程师的情况。</w:t>
            </w:r>
          </w:p>
          <w:p>
            <w:pPr>
              <w:autoSpaceDN w:val="0"/>
              <w:spacing w:line="260" w:lineRule="exact"/>
              <w:jc w:val="left"/>
              <w:rPr>
                <w:rFonts w:eastAsia="仿宋_GB2312"/>
                <w:szCs w:val="21"/>
              </w:rPr>
            </w:pPr>
            <w:r>
              <w:rPr>
                <w:rFonts w:eastAsia="仿宋_GB2312"/>
                <w:szCs w:val="21"/>
              </w:rPr>
              <w:t>9</w:t>
            </w:r>
            <w:r>
              <w:rPr>
                <w:rFonts w:eastAsia="仿宋_GB2312"/>
                <w:szCs w:val="21"/>
                <w:lang w:val="en"/>
              </w:rPr>
              <w:t>.</w:t>
            </w:r>
            <w:r>
              <w:rPr>
                <w:rFonts w:hint="eastAsia" w:eastAsia="仿宋_GB2312"/>
                <w:szCs w:val="21"/>
              </w:rPr>
              <w:t>餐饮等使用燃气的经营场所安装可燃气体报警装置情况。</w:t>
            </w:r>
          </w:p>
          <w:p>
            <w:pPr>
              <w:autoSpaceDN w:val="0"/>
              <w:spacing w:line="260" w:lineRule="exact"/>
              <w:jc w:val="left"/>
              <w:rPr>
                <w:rFonts w:eastAsia="仿宋_GB2312"/>
                <w:szCs w:val="21"/>
              </w:rPr>
            </w:pPr>
            <w:r>
              <w:rPr>
                <w:rFonts w:eastAsia="仿宋_GB2312"/>
                <w:szCs w:val="21"/>
              </w:rPr>
              <w:t>10</w:t>
            </w:r>
            <w:r>
              <w:rPr>
                <w:rFonts w:eastAsia="仿宋_GB2312"/>
                <w:szCs w:val="21"/>
                <w:lang w:val="en"/>
              </w:rPr>
              <w:t>.</w:t>
            </w:r>
            <w:r>
              <w:rPr>
                <w:rFonts w:hint="eastAsia" w:eastAsia="仿宋_GB2312"/>
                <w:szCs w:val="21"/>
              </w:rPr>
              <w:t>高危岗位从业人员持证上岗情况。</w:t>
            </w:r>
          </w:p>
        </w:tc>
        <w:tc>
          <w:tcPr>
            <w:tcW w:w="2516" w:type="dxa"/>
            <w:noWrap w:val="0"/>
            <w:vAlign w:val="center"/>
          </w:tcPr>
          <w:p>
            <w:pPr>
              <w:autoSpaceDN w:val="0"/>
              <w:spacing w:line="260" w:lineRule="exact"/>
              <w:jc w:val="left"/>
              <w:rPr>
                <w:rFonts w:eastAsia="仿宋_GB2312"/>
                <w:szCs w:val="21"/>
              </w:rPr>
            </w:pPr>
          </w:p>
        </w:tc>
        <w:tc>
          <w:tcPr>
            <w:tcW w:w="679" w:type="dxa"/>
            <w:noWrap w:val="0"/>
            <w:vAlign w:val="center"/>
          </w:tcPr>
          <w:p>
            <w:pPr>
              <w:autoSpaceDN w:val="0"/>
              <w:spacing w:line="26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993" w:type="dxa"/>
            <w:noWrap w:val="0"/>
            <w:vAlign w:val="center"/>
          </w:tcPr>
          <w:p>
            <w:pPr>
              <w:autoSpaceDN w:val="0"/>
              <w:spacing w:line="260" w:lineRule="exact"/>
              <w:jc w:val="left"/>
              <w:rPr>
                <w:rFonts w:eastAsia="仿宋_GB2312"/>
                <w:szCs w:val="21"/>
              </w:rPr>
            </w:pPr>
            <w:r>
              <w:rPr>
                <w:rFonts w:hint="eastAsia" w:eastAsia="仿宋_GB2312"/>
                <w:szCs w:val="21"/>
              </w:rPr>
              <w:t>风险防控盲区清零行动</w:t>
            </w:r>
          </w:p>
        </w:tc>
        <w:tc>
          <w:tcPr>
            <w:tcW w:w="8743" w:type="dxa"/>
            <w:noWrap w:val="0"/>
            <w:vAlign w:val="center"/>
          </w:tcPr>
          <w:p>
            <w:pPr>
              <w:autoSpaceDN w:val="0"/>
              <w:spacing w:line="260" w:lineRule="exact"/>
              <w:jc w:val="left"/>
              <w:rPr>
                <w:rFonts w:eastAsia="仿宋_GB2312"/>
                <w:szCs w:val="21"/>
              </w:rPr>
            </w:pPr>
            <w:r>
              <w:rPr>
                <w:rFonts w:eastAsia="仿宋_GB2312"/>
                <w:szCs w:val="21"/>
              </w:rPr>
              <w:t>1.</w:t>
            </w:r>
            <w:r>
              <w:rPr>
                <w:rFonts w:hint="eastAsia" w:eastAsia="仿宋_GB2312"/>
                <w:szCs w:val="21"/>
              </w:rPr>
              <w:t>结合企业高温期、汛期特点开展风险辨识评估，对本企业安全风险进行系统分析研判，建立安全风险管控台账，分类明确管控责任、管控措施。</w:t>
            </w:r>
          </w:p>
          <w:p>
            <w:pPr>
              <w:autoSpaceDN w:val="0"/>
              <w:spacing w:line="260" w:lineRule="exact"/>
              <w:jc w:val="left"/>
              <w:rPr>
                <w:rFonts w:eastAsia="仿宋_GB2312"/>
                <w:szCs w:val="21"/>
              </w:rPr>
            </w:pPr>
            <w:r>
              <w:rPr>
                <w:rFonts w:eastAsia="仿宋_GB2312"/>
                <w:szCs w:val="21"/>
              </w:rPr>
              <w:t>2.</w:t>
            </w:r>
            <w:r>
              <w:rPr>
                <w:rFonts w:hint="eastAsia" w:eastAsia="仿宋_GB2312"/>
                <w:szCs w:val="21"/>
              </w:rPr>
              <w:t>绘制企业“红橙黄蓝”四色安全风险空间分布图，根据企业风险点、危险源的风险类别和等级，分级、分层、分类、分专业进行管控，逐一落实企业、车间、班组、岗位的管控责任、管控措施，强化动态管理情况。</w:t>
            </w:r>
          </w:p>
        </w:tc>
        <w:tc>
          <w:tcPr>
            <w:tcW w:w="2516" w:type="dxa"/>
            <w:noWrap w:val="0"/>
            <w:vAlign w:val="center"/>
          </w:tcPr>
          <w:p>
            <w:pPr>
              <w:autoSpaceDN w:val="0"/>
              <w:spacing w:line="260" w:lineRule="exact"/>
              <w:jc w:val="left"/>
              <w:rPr>
                <w:rFonts w:eastAsia="仿宋_GB2312"/>
                <w:szCs w:val="21"/>
              </w:rPr>
            </w:pPr>
          </w:p>
        </w:tc>
        <w:tc>
          <w:tcPr>
            <w:tcW w:w="679" w:type="dxa"/>
            <w:noWrap w:val="0"/>
            <w:vAlign w:val="center"/>
          </w:tcPr>
          <w:p>
            <w:pPr>
              <w:autoSpaceDN w:val="0"/>
              <w:spacing w:line="26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1993" w:type="dxa"/>
            <w:noWrap w:val="0"/>
            <w:vAlign w:val="center"/>
          </w:tcPr>
          <w:p>
            <w:pPr>
              <w:autoSpaceDN w:val="0"/>
              <w:spacing w:line="260" w:lineRule="exact"/>
              <w:jc w:val="left"/>
              <w:rPr>
                <w:rFonts w:eastAsia="仿宋_GB2312"/>
                <w:szCs w:val="21"/>
              </w:rPr>
            </w:pPr>
            <w:r>
              <w:rPr>
                <w:rFonts w:hint="eastAsia" w:eastAsia="仿宋_GB2312"/>
                <w:szCs w:val="21"/>
              </w:rPr>
              <w:t>问题隐患整改清零行动</w:t>
            </w:r>
          </w:p>
        </w:tc>
        <w:tc>
          <w:tcPr>
            <w:tcW w:w="8743" w:type="dxa"/>
            <w:noWrap w:val="0"/>
            <w:vAlign w:val="center"/>
          </w:tcPr>
          <w:p>
            <w:pPr>
              <w:autoSpaceDN w:val="0"/>
              <w:spacing w:line="260" w:lineRule="exact"/>
              <w:jc w:val="left"/>
              <w:rPr>
                <w:rFonts w:eastAsia="仿宋_GB2312"/>
                <w:szCs w:val="21"/>
              </w:rPr>
            </w:pPr>
            <w:r>
              <w:rPr>
                <w:rFonts w:eastAsia="仿宋_GB2312"/>
                <w:szCs w:val="21"/>
              </w:rPr>
              <w:t>1.</w:t>
            </w:r>
            <w:r>
              <w:rPr>
                <w:rFonts w:hint="eastAsia" w:eastAsia="仿宋_GB2312"/>
                <w:szCs w:val="21"/>
              </w:rPr>
              <w:t>企业不断建立完善事故隐患排查治理制度，动员全员参与的隐患排查整治，开展隐患自查自改自报情况。</w:t>
            </w:r>
          </w:p>
          <w:p>
            <w:pPr>
              <w:autoSpaceDN w:val="0"/>
              <w:spacing w:line="260" w:lineRule="exact"/>
              <w:jc w:val="left"/>
              <w:rPr>
                <w:rFonts w:eastAsia="仿宋_GB2312"/>
                <w:szCs w:val="21"/>
              </w:rPr>
            </w:pPr>
            <w:r>
              <w:rPr>
                <w:rFonts w:eastAsia="仿宋_GB2312"/>
                <w:szCs w:val="21"/>
              </w:rPr>
              <w:t>2.</w:t>
            </w:r>
            <w:r>
              <w:rPr>
                <w:rFonts w:hint="eastAsia" w:eastAsia="仿宋_GB2312"/>
                <w:szCs w:val="21"/>
              </w:rPr>
              <w:t>结合汛期、高温期、中秋、国庆等重点时段和党的二十大等重大活动特点规律，全覆盖开展隐患排查治理，认真建立隐患台账，按照“五落实”要求开展隐患排查治理，实行整改闭环管理，动态清零问题隐患情况。</w:t>
            </w:r>
          </w:p>
          <w:p>
            <w:pPr>
              <w:autoSpaceDN w:val="0"/>
              <w:spacing w:line="260" w:lineRule="exact"/>
              <w:jc w:val="left"/>
              <w:rPr>
                <w:rFonts w:eastAsia="仿宋_GB2312"/>
                <w:szCs w:val="21"/>
              </w:rPr>
            </w:pPr>
            <w:r>
              <w:rPr>
                <w:rFonts w:eastAsia="仿宋_GB2312"/>
                <w:szCs w:val="21"/>
              </w:rPr>
              <w:t>3.</w:t>
            </w:r>
            <w:r>
              <w:rPr>
                <w:rFonts w:hint="eastAsia" w:eastAsia="仿宋_GB2312"/>
                <w:szCs w:val="21"/>
              </w:rPr>
              <w:t>企业向有关监管部门报告并及时有效治理重大隐患情况。</w:t>
            </w:r>
          </w:p>
        </w:tc>
        <w:tc>
          <w:tcPr>
            <w:tcW w:w="2516" w:type="dxa"/>
            <w:noWrap w:val="0"/>
            <w:vAlign w:val="center"/>
          </w:tcPr>
          <w:p>
            <w:pPr>
              <w:autoSpaceDN w:val="0"/>
              <w:spacing w:line="260" w:lineRule="exact"/>
              <w:jc w:val="left"/>
              <w:rPr>
                <w:rFonts w:eastAsia="仿宋_GB2312"/>
                <w:szCs w:val="21"/>
              </w:rPr>
            </w:pPr>
          </w:p>
        </w:tc>
        <w:tc>
          <w:tcPr>
            <w:tcW w:w="679" w:type="dxa"/>
            <w:noWrap w:val="0"/>
            <w:vAlign w:val="center"/>
          </w:tcPr>
          <w:p>
            <w:pPr>
              <w:autoSpaceDN w:val="0"/>
              <w:spacing w:line="26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993" w:type="dxa"/>
            <w:noWrap w:val="0"/>
            <w:vAlign w:val="center"/>
          </w:tcPr>
          <w:p>
            <w:pPr>
              <w:autoSpaceDN w:val="0"/>
              <w:spacing w:line="260" w:lineRule="exact"/>
              <w:jc w:val="left"/>
              <w:rPr>
                <w:rFonts w:eastAsia="仿宋_GB2312"/>
                <w:szCs w:val="21"/>
              </w:rPr>
            </w:pPr>
            <w:r>
              <w:rPr>
                <w:rFonts w:hint="eastAsia" w:eastAsia="仿宋_GB2312"/>
                <w:szCs w:val="21"/>
              </w:rPr>
              <w:t>推动安全生产清单制管理提档升级</w:t>
            </w:r>
          </w:p>
        </w:tc>
        <w:tc>
          <w:tcPr>
            <w:tcW w:w="8743" w:type="dxa"/>
            <w:noWrap w:val="0"/>
            <w:vAlign w:val="center"/>
          </w:tcPr>
          <w:p>
            <w:pPr>
              <w:autoSpaceDN w:val="0"/>
              <w:spacing w:line="260" w:lineRule="exact"/>
              <w:jc w:val="left"/>
              <w:rPr>
                <w:rFonts w:eastAsia="仿宋_GB2312"/>
                <w:szCs w:val="21"/>
              </w:rPr>
            </w:pPr>
            <w:r>
              <w:rPr>
                <w:rFonts w:eastAsia="仿宋_GB2312"/>
                <w:szCs w:val="21"/>
              </w:rPr>
              <w:t>1.</w:t>
            </w:r>
            <w:r>
              <w:rPr>
                <w:rFonts w:hint="eastAsia" w:eastAsia="仿宋_GB2312"/>
                <w:szCs w:val="21"/>
              </w:rPr>
              <w:t>建立完善本企业安全生产清单，推行全员岗位责任制情况。</w:t>
            </w:r>
          </w:p>
          <w:p>
            <w:pPr>
              <w:autoSpaceDN w:val="0"/>
              <w:spacing w:line="260" w:lineRule="exact"/>
              <w:jc w:val="left"/>
              <w:rPr>
                <w:rFonts w:eastAsia="仿宋_GB2312"/>
                <w:szCs w:val="21"/>
              </w:rPr>
            </w:pPr>
            <w:r>
              <w:rPr>
                <w:rFonts w:eastAsia="仿宋_GB2312"/>
                <w:szCs w:val="21"/>
              </w:rPr>
              <w:t>2.</w:t>
            </w:r>
            <w:r>
              <w:rPr>
                <w:rFonts w:hint="eastAsia" w:eastAsia="仿宋_GB2312"/>
                <w:szCs w:val="21"/>
              </w:rPr>
              <w:t>积极推进清单制2.0版，落实“行业共性+企业个性”要求，开展清单制2.0版编制并使用情况。</w:t>
            </w:r>
          </w:p>
          <w:p>
            <w:pPr>
              <w:autoSpaceDN w:val="0"/>
              <w:spacing w:line="260" w:lineRule="exact"/>
              <w:jc w:val="left"/>
              <w:rPr>
                <w:rFonts w:eastAsia="仿宋_GB2312"/>
                <w:szCs w:val="21"/>
              </w:rPr>
            </w:pPr>
            <w:r>
              <w:rPr>
                <w:rFonts w:eastAsia="仿宋_GB2312"/>
                <w:szCs w:val="21"/>
              </w:rPr>
              <w:t>3.</w:t>
            </w:r>
            <w:r>
              <w:rPr>
                <w:rFonts w:hint="eastAsia" w:eastAsia="仿宋_GB2312"/>
                <w:szCs w:val="21"/>
              </w:rPr>
              <w:t>推动企业清单制信息化建设，用信息化水平提升清单制实施质效情况。</w:t>
            </w:r>
          </w:p>
        </w:tc>
        <w:tc>
          <w:tcPr>
            <w:tcW w:w="2516" w:type="dxa"/>
            <w:noWrap w:val="0"/>
            <w:vAlign w:val="center"/>
          </w:tcPr>
          <w:p>
            <w:pPr>
              <w:autoSpaceDN w:val="0"/>
              <w:spacing w:line="260" w:lineRule="exact"/>
              <w:jc w:val="left"/>
              <w:rPr>
                <w:rFonts w:eastAsia="仿宋_GB2312"/>
                <w:szCs w:val="21"/>
              </w:rPr>
            </w:pPr>
          </w:p>
        </w:tc>
        <w:tc>
          <w:tcPr>
            <w:tcW w:w="679" w:type="dxa"/>
            <w:noWrap w:val="0"/>
            <w:vAlign w:val="center"/>
          </w:tcPr>
          <w:p>
            <w:pPr>
              <w:autoSpaceDN w:val="0"/>
              <w:spacing w:line="26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993" w:type="dxa"/>
            <w:noWrap w:val="0"/>
            <w:vAlign w:val="center"/>
          </w:tcPr>
          <w:p>
            <w:pPr>
              <w:autoSpaceDN w:val="0"/>
              <w:spacing w:line="260" w:lineRule="exact"/>
              <w:jc w:val="left"/>
              <w:rPr>
                <w:rFonts w:eastAsia="仿宋_GB2312"/>
                <w:szCs w:val="21"/>
              </w:rPr>
            </w:pPr>
            <w:r>
              <w:rPr>
                <w:rFonts w:hint="eastAsia" w:eastAsia="仿宋_GB2312"/>
                <w:szCs w:val="21"/>
              </w:rPr>
              <w:t>提升应急能力</w:t>
            </w:r>
          </w:p>
        </w:tc>
        <w:tc>
          <w:tcPr>
            <w:tcW w:w="8743" w:type="dxa"/>
            <w:noWrap w:val="0"/>
            <w:vAlign w:val="center"/>
          </w:tcPr>
          <w:p>
            <w:pPr>
              <w:autoSpaceDN w:val="0"/>
              <w:spacing w:line="260" w:lineRule="exact"/>
              <w:jc w:val="left"/>
              <w:rPr>
                <w:rFonts w:eastAsia="仿宋_GB2312"/>
                <w:szCs w:val="21"/>
                <w:lang w:val="en"/>
              </w:rPr>
            </w:pPr>
            <w:r>
              <w:rPr>
                <w:rFonts w:eastAsia="仿宋_GB2312"/>
                <w:szCs w:val="21"/>
              </w:rPr>
              <w:t>1</w:t>
            </w:r>
            <w:r>
              <w:rPr>
                <w:rFonts w:hint="eastAsia" w:eastAsia="仿宋_GB2312"/>
                <w:szCs w:val="21"/>
              </w:rPr>
              <w:t>.建立专（兼）职应急救援队伍，配备必要应急装备、储备应急物资情况</w:t>
            </w:r>
            <w:r>
              <w:rPr>
                <w:rFonts w:hint="eastAsia" w:eastAsia="仿宋_GB2312"/>
                <w:szCs w:val="21"/>
                <w:lang w:val="en"/>
              </w:rPr>
              <w:t>。</w:t>
            </w:r>
          </w:p>
          <w:p>
            <w:pPr>
              <w:autoSpaceDN w:val="0"/>
              <w:spacing w:line="260" w:lineRule="exact"/>
              <w:jc w:val="left"/>
              <w:rPr>
                <w:szCs w:val="24"/>
              </w:rPr>
            </w:pPr>
            <w:r>
              <w:rPr>
                <w:rFonts w:eastAsia="仿宋_GB2312"/>
                <w:szCs w:val="21"/>
              </w:rPr>
              <w:t>2</w:t>
            </w:r>
            <w:r>
              <w:rPr>
                <w:rFonts w:hint="eastAsia" w:eastAsia="仿宋_GB2312"/>
                <w:szCs w:val="21"/>
              </w:rPr>
              <w:t>.修订完善应急预案和现场处置方案并组织开展应急演练、培训教育等情况</w:t>
            </w:r>
            <w:r>
              <w:rPr>
                <w:rFonts w:hint="eastAsia" w:eastAsia="仿宋_GB2312"/>
                <w:szCs w:val="21"/>
                <w:lang w:val="en"/>
              </w:rPr>
              <w:t>。</w:t>
            </w:r>
          </w:p>
        </w:tc>
        <w:tc>
          <w:tcPr>
            <w:tcW w:w="2516" w:type="dxa"/>
            <w:noWrap w:val="0"/>
            <w:vAlign w:val="center"/>
          </w:tcPr>
          <w:p>
            <w:pPr>
              <w:autoSpaceDN w:val="0"/>
              <w:spacing w:line="260" w:lineRule="exact"/>
              <w:jc w:val="left"/>
              <w:rPr>
                <w:rFonts w:eastAsia="仿宋_GB2312"/>
                <w:szCs w:val="21"/>
              </w:rPr>
            </w:pPr>
          </w:p>
        </w:tc>
        <w:tc>
          <w:tcPr>
            <w:tcW w:w="679" w:type="dxa"/>
            <w:noWrap w:val="0"/>
            <w:vAlign w:val="center"/>
          </w:tcPr>
          <w:p>
            <w:pPr>
              <w:autoSpaceDN w:val="0"/>
              <w:spacing w:line="260" w:lineRule="exact"/>
              <w:jc w:val="left"/>
              <w:rPr>
                <w:rFonts w:eastAsia="仿宋_GB2312"/>
                <w:szCs w:val="21"/>
              </w:rPr>
            </w:pPr>
          </w:p>
        </w:tc>
      </w:tr>
    </w:tbl>
    <w:p>
      <w:pPr>
        <w:autoSpaceDN w:val="0"/>
        <w:spacing w:line="576" w:lineRule="exact"/>
        <w:jc w:val="left"/>
        <w:rPr>
          <w:rFonts w:eastAsia="仿宋_GB2312"/>
          <w:bCs/>
          <w:szCs w:val="24"/>
        </w:rPr>
      </w:pPr>
      <w:r>
        <w:rPr>
          <w:rFonts w:hint="eastAsia" w:eastAsia="仿宋_GB2312"/>
          <w:kern w:val="0"/>
          <w:sz w:val="28"/>
          <w:szCs w:val="28"/>
        </w:rPr>
        <w:t>督查组组长签字：</w:t>
      </w:r>
      <w:r>
        <w:rPr>
          <w:rFonts w:eastAsia="仿宋_GB2312"/>
          <w:kern w:val="0"/>
          <w:sz w:val="28"/>
          <w:szCs w:val="28"/>
        </w:rPr>
        <w:t xml:space="preserve">                                     </w:t>
      </w:r>
      <w:r>
        <w:rPr>
          <w:rFonts w:hint="eastAsia" w:eastAsia="仿宋_GB2312"/>
          <w:kern w:val="0"/>
          <w:sz w:val="28"/>
          <w:szCs w:val="28"/>
        </w:rPr>
        <w:t>被督查单位负责人签字：</w:t>
      </w:r>
    </w:p>
    <w:p>
      <w:pPr>
        <w:autoSpaceDN w:val="0"/>
        <w:spacing w:line="576" w:lineRule="exact"/>
        <w:jc w:val="left"/>
        <w:rPr>
          <w:rFonts w:eastAsia="黑体"/>
          <w:bCs/>
          <w:sz w:val="32"/>
          <w:szCs w:val="32"/>
        </w:rPr>
      </w:pPr>
    </w:p>
    <w:p>
      <w:pPr>
        <w:autoSpaceDN w:val="0"/>
        <w:spacing w:line="576" w:lineRule="exact"/>
        <w:jc w:val="left"/>
        <w:rPr>
          <w:rFonts w:eastAsia="黑体"/>
          <w:bCs/>
          <w:sz w:val="32"/>
          <w:szCs w:val="32"/>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MjE5MWVjYWRmOWYxMGE5ZmI1OWJjZGVhOWJlMWYifQ=="/>
  </w:docVars>
  <w:rsids>
    <w:rsidRoot w:val="08655C37"/>
    <w:rsid w:val="08655C37"/>
    <w:rsid w:val="2B6A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3586</Words>
  <Characters>3657</Characters>
  <Lines>0</Lines>
  <Paragraphs>0</Paragraphs>
  <TotalTime>0</TotalTime>
  <ScaleCrop>false</ScaleCrop>
  <LinksUpToDate>false</LinksUpToDate>
  <CharactersWithSpaces>3699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2022-08-02T03:04:00Z</dcterms:created>
  <dc:creator>牙签儿</dc:creator>
  <cp:lastModifiedBy>牙签儿</cp:lastModifiedBy>
  <dcterms:modified xsi:type="dcterms:W3CDTF">2022-08-02T03:05:52Z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56299278D4FA4A2A95FD12C8B8E1B6C3</vt:lpwstr>
  </property>
</Properties>
</file>